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D38" w:rsidRPr="00CE5666" w:rsidRDefault="00BC2D38" w:rsidP="00CE5666">
      <w:pPr>
        <w:jc w:val="center"/>
        <w:rPr>
          <w:b/>
          <w:bCs/>
        </w:rPr>
      </w:pPr>
      <w:bookmarkStart w:id="0" w:name="_GoBack"/>
      <w:bookmarkEnd w:id="0"/>
      <w:r w:rsidRPr="00CE5666">
        <w:rPr>
          <w:rStyle w:val="s4f807e54"/>
          <w:rFonts w:ascii="Arial" w:hAnsi="Arial" w:cs="Arial"/>
          <w:b/>
          <w:bCs/>
          <w:sz w:val="18"/>
          <w:szCs w:val="18"/>
        </w:rPr>
        <w:t>© Copyright for the Polish translation by Naczelny Sąd Administracyjny, Warszawa 2019</w:t>
      </w:r>
    </w:p>
    <w:p w:rsidR="00BC2D38" w:rsidRDefault="00BC2D38" w:rsidP="00C2389D">
      <w:pPr>
        <w:pStyle w:val="Nagwekspisutreci"/>
        <w:rPr>
          <w:b w:val="0"/>
          <w:bCs w:val="0"/>
          <w:color w:val="auto"/>
          <w:sz w:val="22"/>
          <w:szCs w:val="22"/>
        </w:rPr>
      </w:pPr>
    </w:p>
    <w:p w:rsidR="00BC2D38" w:rsidRDefault="00BC2D38" w:rsidP="00122E93"/>
    <w:p w:rsidR="00BC2D38" w:rsidRDefault="00BC2D38" w:rsidP="00122E93"/>
    <w:p w:rsidR="00BC2D38" w:rsidRDefault="00BC2D38" w:rsidP="00122E93"/>
    <w:p w:rsidR="00BC2D38" w:rsidRDefault="00BC2D38" w:rsidP="00122E93"/>
    <w:p w:rsidR="00BC2D38" w:rsidRDefault="00BC2D38" w:rsidP="00122E93"/>
    <w:p w:rsidR="00BC2D38" w:rsidRDefault="00BC2D38" w:rsidP="00122E93"/>
    <w:p w:rsidR="00BC2D38" w:rsidRDefault="00BC2D38" w:rsidP="00122E93"/>
    <w:p w:rsidR="00BC2D38" w:rsidRDefault="00BC2D38" w:rsidP="00122E93"/>
    <w:p w:rsidR="00BC2D38" w:rsidRDefault="00BC2D38" w:rsidP="00122E93"/>
    <w:p w:rsidR="00BC2D38" w:rsidRDefault="00BC2D38" w:rsidP="00122E93"/>
    <w:p w:rsidR="00BC2D38" w:rsidRDefault="00BC2D38" w:rsidP="00122E93"/>
    <w:p w:rsidR="00BC2D38" w:rsidRDefault="00BC2D38" w:rsidP="00122E93"/>
    <w:p w:rsidR="00BC2D38" w:rsidRPr="000552B9" w:rsidRDefault="00BC2D38" w:rsidP="00775C6F">
      <w:pPr>
        <w:rPr>
          <w:b/>
          <w:bCs/>
          <w:sz w:val="32"/>
          <w:szCs w:val="32"/>
        </w:rPr>
      </w:pPr>
    </w:p>
    <w:p w:rsidR="00BC2D38" w:rsidRPr="000552B9" w:rsidRDefault="00BC2D38" w:rsidP="00775C6F">
      <w:pPr>
        <w:keepNext/>
        <w:keepLines/>
        <w:pBdr>
          <w:bottom w:val="single" w:sz="12" w:space="1" w:color="949494"/>
        </w:pBdr>
        <w:spacing w:before="1800"/>
        <w:jc w:val="center"/>
        <w:outlineLvl w:val="0"/>
        <w:rPr>
          <w:b/>
          <w:bCs/>
          <w:color w:val="2F2F2F"/>
          <w:sz w:val="28"/>
          <w:szCs w:val="28"/>
        </w:rPr>
      </w:pPr>
      <w:bookmarkStart w:id="1" w:name="_Toc5712729"/>
      <w:r>
        <w:rPr>
          <w:b/>
          <w:bCs/>
          <w:color w:val="2F2F2F"/>
          <w:sz w:val="32"/>
          <w:szCs w:val="32"/>
        </w:rPr>
        <w:t>Krótkie opracowanie</w:t>
      </w:r>
      <w:r>
        <w:rPr>
          <w:rStyle w:val="Odwoanieprzypisudolnego"/>
          <w:b/>
          <w:bCs/>
          <w:color w:val="2F2F2F"/>
          <w:sz w:val="32"/>
          <w:szCs w:val="32"/>
        </w:rPr>
        <w:footnoteReference w:id="1"/>
      </w:r>
      <w:bookmarkEnd w:id="1"/>
    </w:p>
    <w:p w:rsidR="00BC2D38" w:rsidRPr="00802736" w:rsidRDefault="00BC2D38" w:rsidP="00AA7B3B">
      <w:pPr>
        <w:pStyle w:val="ECHRTitleCentre1"/>
      </w:pPr>
      <w:r>
        <w:t>Prawa i obowiązki sędziów w świetle Konwencji</w:t>
      </w:r>
    </w:p>
    <w:p w:rsidR="00BC2D38" w:rsidRPr="00B62479" w:rsidRDefault="00BC2D38" w:rsidP="00AA7B3B">
      <w:pPr>
        <w:pStyle w:val="ECHRParaSpaced"/>
        <w:jc w:val="center"/>
        <w:rPr>
          <w:b/>
          <w:bCs/>
        </w:rPr>
      </w:pPr>
      <w:r>
        <w:rPr>
          <w:b/>
          <w:bCs/>
        </w:rPr>
        <w:t>(30/01/2019)</w:t>
      </w:r>
    </w:p>
    <w:p w:rsidR="00BC2D38" w:rsidRPr="000552B9" w:rsidRDefault="00BC2D38" w:rsidP="00775C6F">
      <w:pPr>
        <w:pStyle w:val="ECHRParaSpaced"/>
        <w:jc w:val="center"/>
        <w:rPr>
          <w:b/>
          <w:bCs/>
          <w:sz w:val="32"/>
          <w:szCs w:val="32"/>
          <w:lang w:eastAsia="fr-FR"/>
        </w:rPr>
        <w:sectPr w:rsidR="00BC2D38" w:rsidRPr="000552B9" w:rsidSect="00D10E25">
          <w:headerReference w:type="default" r:id="rId7"/>
          <w:footerReference w:type="default" r:id="rId8"/>
          <w:headerReference w:type="first" r:id="rId9"/>
          <w:footerReference w:type="first" r:id="rId10"/>
          <w:pgSz w:w="11906" w:h="16838"/>
          <w:pgMar w:top="1417" w:right="1417" w:bottom="1417" w:left="1417" w:header="568" w:footer="708" w:gutter="0"/>
          <w:cols w:space="708"/>
          <w:titlePg/>
          <w:docGrid w:linePitch="360"/>
        </w:sectPr>
      </w:pPr>
    </w:p>
    <w:p w:rsidR="00BC2D38" w:rsidRPr="00122E93" w:rsidRDefault="00BC2D38" w:rsidP="00122E93">
      <w:pPr>
        <w:jc w:val="center"/>
        <w:rPr>
          <w:sz w:val="2"/>
          <w:szCs w:val="2"/>
        </w:rPr>
      </w:pPr>
    </w:p>
    <w:p w:rsidR="00BC2D38" w:rsidRPr="00802736" w:rsidRDefault="00BC2D38" w:rsidP="00C2389D">
      <w:pPr>
        <w:pStyle w:val="Nagwekspisutreci"/>
      </w:pPr>
      <w:r>
        <w:t>Spis treści</w:t>
      </w:r>
    </w:p>
    <w:p w:rsidR="00BC2D38" w:rsidRDefault="00BC2D38">
      <w:pPr>
        <w:pStyle w:val="Spistreci1"/>
        <w:rPr>
          <w:b w:val="0"/>
          <w:bCs w:val="0"/>
          <w:color w:val="auto"/>
          <w:lang w:eastAsia="pl-PL"/>
        </w:rPr>
      </w:pPr>
      <w:r w:rsidRPr="00802736">
        <w:fldChar w:fldCharType="begin"/>
      </w:r>
      <w:r w:rsidRPr="00802736">
        <w:instrText xml:space="preserve"> TOC \o "1-3" \h \z \u </w:instrText>
      </w:r>
      <w:r w:rsidRPr="00802736">
        <w:fldChar w:fldCharType="separate"/>
      </w:r>
      <w:hyperlink w:anchor="_Toc5712729" w:history="1">
        <w:r w:rsidRPr="002605FA">
          <w:rPr>
            <w:rStyle w:val="Hipercze"/>
          </w:rPr>
          <w:t>Krótkie opracowanie</w:t>
        </w:r>
        <w:r>
          <w:rPr>
            <w:webHidden/>
          </w:rPr>
          <w:tab/>
        </w:r>
        <w:r>
          <w:rPr>
            <w:webHidden/>
          </w:rPr>
          <w:fldChar w:fldCharType="begin"/>
        </w:r>
        <w:r>
          <w:rPr>
            <w:webHidden/>
          </w:rPr>
          <w:instrText xml:space="preserve"> PAGEREF _Toc5712729 \h </w:instrText>
        </w:r>
        <w:r>
          <w:rPr>
            <w:webHidden/>
          </w:rPr>
        </w:r>
        <w:r>
          <w:rPr>
            <w:webHidden/>
          </w:rPr>
          <w:fldChar w:fldCharType="separate"/>
        </w:r>
        <w:r>
          <w:rPr>
            <w:webHidden/>
          </w:rPr>
          <w:t>1</w:t>
        </w:r>
        <w:r>
          <w:rPr>
            <w:webHidden/>
          </w:rPr>
          <w:fldChar w:fldCharType="end"/>
        </w:r>
      </w:hyperlink>
    </w:p>
    <w:p w:rsidR="00BC2D38" w:rsidRDefault="003F0A31">
      <w:pPr>
        <w:pStyle w:val="Spistreci1"/>
        <w:rPr>
          <w:b w:val="0"/>
          <w:bCs w:val="0"/>
          <w:color w:val="auto"/>
          <w:lang w:eastAsia="pl-PL"/>
        </w:rPr>
      </w:pPr>
      <w:hyperlink w:anchor="_Toc5712730" w:history="1">
        <w:r w:rsidR="00BC2D38" w:rsidRPr="002605FA">
          <w:rPr>
            <w:rStyle w:val="Hipercze"/>
          </w:rPr>
          <w:t>Wprowadzenie</w:t>
        </w:r>
        <w:r w:rsidR="00BC2D38">
          <w:rPr>
            <w:webHidden/>
          </w:rPr>
          <w:tab/>
        </w:r>
        <w:r w:rsidR="00BC2D38">
          <w:rPr>
            <w:webHidden/>
          </w:rPr>
          <w:fldChar w:fldCharType="begin"/>
        </w:r>
        <w:r w:rsidR="00BC2D38">
          <w:rPr>
            <w:webHidden/>
          </w:rPr>
          <w:instrText xml:space="preserve"> PAGEREF _Toc5712730 \h </w:instrText>
        </w:r>
        <w:r w:rsidR="00BC2D38">
          <w:rPr>
            <w:webHidden/>
          </w:rPr>
        </w:r>
        <w:r w:rsidR="00BC2D38">
          <w:rPr>
            <w:webHidden/>
          </w:rPr>
          <w:fldChar w:fldCharType="separate"/>
        </w:r>
        <w:r w:rsidR="00BC2D38">
          <w:rPr>
            <w:webHidden/>
          </w:rPr>
          <w:t>3</w:t>
        </w:r>
        <w:r w:rsidR="00BC2D38">
          <w:rPr>
            <w:webHidden/>
          </w:rPr>
          <w:fldChar w:fldCharType="end"/>
        </w:r>
      </w:hyperlink>
    </w:p>
    <w:p w:rsidR="00BC2D38" w:rsidRDefault="003F0A31">
      <w:pPr>
        <w:pStyle w:val="Spistreci1"/>
        <w:rPr>
          <w:b w:val="0"/>
          <w:bCs w:val="0"/>
          <w:color w:val="auto"/>
          <w:lang w:eastAsia="pl-PL"/>
        </w:rPr>
      </w:pPr>
      <w:hyperlink w:anchor="_Toc5712731" w:history="1">
        <w:r w:rsidR="00BC2D38" w:rsidRPr="002605FA">
          <w:rPr>
            <w:rStyle w:val="Hipercze"/>
          </w:rPr>
          <w:t>Zasady ogólne wywodzone z aktualnego orzecznictwa</w:t>
        </w:r>
        <w:r w:rsidR="00BC2D38">
          <w:rPr>
            <w:webHidden/>
          </w:rPr>
          <w:tab/>
        </w:r>
        <w:r w:rsidR="00BC2D38">
          <w:rPr>
            <w:webHidden/>
          </w:rPr>
          <w:fldChar w:fldCharType="begin"/>
        </w:r>
        <w:r w:rsidR="00BC2D38">
          <w:rPr>
            <w:webHidden/>
          </w:rPr>
          <w:instrText xml:space="preserve"> PAGEREF _Toc5712731 \h </w:instrText>
        </w:r>
        <w:r w:rsidR="00BC2D38">
          <w:rPr>
            <w:webHidden/>
          </w:rPr>
        </w:r>
        <w:r w:rsidR="00BC2D38">
          <w:rPr>
            <w:webHidden/>
          </w:rPr>
          <w:fldChar w:fldCharType="separate"/>
        </w:r>
        <w:r w:rsidR="00BC2D38">
          <w:rPr>
            <w:webHidden/>
          </w:rPr>
          <w:t>3</w:t>
        </w:r>
        <w:r w:rsidR="00BC2D38">
          <w:rPr>
            <w:webHidden/>
          </w:rPr>
          <w:fldChar w:fldCharType="end"/>
        </w:r>
      </w:hyperlink>
    </w:p>
    <w:p w:rsidR="00BC2D38" w:rsidRDefault="003F0A31">
      <w:pPr>
        <w:pStyle w:val="Spistreci2"/>
        <w:tabs>
          <w:tab w:val="right" w:leader="dot" w:pos="9017"/>
        </w:tabs>
        <w:rPr>
          <w:noProof/>
          <w:lang w:eastAsia="pl-PL"/>
        </w:rPr>
      </w:pPr>
      <w:hyperlink w:anchor="_Toc5712732" w:history="1">
        <w:r w:rsidR="00BC2D38" w:rsidRPr="002605FA">
          <w:rPr>
            <w:rStyle w:val="Hipercze"/>
            <w:i/>
            <w:iCs/>
            <w:noProof/>
          </w:rPr>
          <w:t>Niezależność sądownictwa</w:t>
        </w:r>
        <w:r w:rsidR="00BC2D38">
          <w:rPr>
            <w:noProof/>
            <w:webHidden/>
          </w:rPr>
          <w:tab/>
        </w:r>
        <w:r w:rsidR="00BC2D38">
          <w:rPr>
            <w:noProof/>
            <w:webHidden/>
          </w:rPr>
          <w:fldChar w:fldCharType="begin"/>
        </w:r>
        <w:r w:rsidR="00BC2D38">
          <w:rPr>
            <w:noProof/>
            <w:webHidden/>
          </w:rPr>
          <w:instrText xml:space="preserve"> PAGEREF _Toc5712732 \h </w:instrText>
        </w:r>
        <w:r w:rsidR="00BC2D38">
          <w:rPr>
            <w:noProof/>
            <w:webHidden/>
          </w:rPr>
        </w:r>
        <w:r w:rsidR="00BC2D38">
          <w:rPr>
            <w:noProof/>
            <w:webHidden/>
          </w:rPr>
          <w:fldChar w:fldCharType="separate"/>
        </w:r>
        <w:r w:rsidR="00BC2D38">
          <w:rPr>
            <w:noProof/>
            <w:webHidden/>
          </w:rPr>
          <w:t>3</w:t>
        </w:r>
        <w:r w:rsidR="00BC2D38">
          <w:rPr>
            <w:noProof/>
            <w:webHidden/>
          </w:rPr>
          <w:fldChar w:fldCharType="end"/>
        </w:r>
      </w:hyperlink>
    </w:p>
    <w:p w:rsidR="00BC2D38" w:rsidRDefault="003F0A31">
      <w:pPr>
        <w:pStyle w:val="Spistreci2"/>
        <w:tabs>
          <w:tab w:val="right" w:leader="dot" w:pos="9017"/>
        </w:tabs>
        <w:rPr>
          <w:noProof/>
          <w:lang w:eastAsia="pl-PL"/>
        </w:rPr>
      </w:pPr>
      <w:hyperlink w:anchor="_Toc5712733" w:history="1">
        <w:r w:rsidR="00BC2D38" w:rsidRPr="002605FA">
          <w:rPr>
            <w:rStyle w:val="Hipercze"/>
            <w:i/>
            <w:iCs/>
            <w:noProof/>
          </w:rPr>
          <w:t>Bezstronność sądownictwa</w:t>
        </w:r>
        <w:r w:rsidR="00BC2D38">
          <w:rPr>
            <w:noProof/>
            <w:webHidden/>
          </w:rPr>
          <w:tab/>
        </w:r>
        <w:r w:rsidR="00BC2D38">
          <w:rPr>
            <w:noProof/>
            <w:webHidden/>
          </w:rPr>
          <w:fldChar w:fldCharType="begin"/>
        </w:r>
        <w:r w:rsidR="00BC2D38">
          <w:rPr>
            <w:noProof/>
            <w:webHidden/>
          </w:rPr>
          <w:instrText xml:space="preserve"> PAGEREF _Toc5712733 \h </w:instrText>
        </w:r>
        <w:r w:rsidR="00BC2D38">
          <w:rPr>
            <w:noProof/>
            <w:webHidden/>
          </w:rPr>
        </w:r>
        <w:r w:rsidR="00BC2D38">
          <w:rPr>
            <w:noProof/>
            <w:webHidden/>
          </w:rPr>
          <w:fldChar w:fldCharType="separate"/>
        </w:r>
        <w:r w:rsidR="00BC2D38">
          <w:rPr>
            <w:noProof/>
            <w:webHidden/>
          </w:rPr>
          <w:t>3</w:t>
        </w:r>
        <w:r w:rsidR="00BC2D38">
          <w:rPr>
            <w:noProof/>
            <w:webHidden/>
          </w:rPr>
          <w:fldChar w:fldCharType="end"/>
        </w:r>
      </w:hyperlink>
    </w:p>
    <w:p w:rsidR="00BC2D38" w:rsidRDefault="003F0A31">
      <w:pPr>
        <w:pStyle w:val="Spistreci1"/>
        <w:rPr>
          <w:b w:val="0"/>
          <w:bCs w:val="0"/>
          <w:color w:val="auto"/>
          <w:lang w:eastAsia="pl-PL"/>
        </w:rPr>
      </w:pPr>
      <w:hyperlink w:anchor="_Toc5712734" w:history="1">
        <w:r w:rsidR="00BC2D38" w:rsidRPr="002605FA">
          <w:rPr>
            <w:rStyle w:val="Hipercze"/>
          </w:rPr>
          <w:t>Artykuł 6</w:t>
        </w:r>
        <w:r w:rsidR="00BC2D38">
          <w:rPr>
            <w:webHidden/>
          </w:rPr>
          <w:tab/>
        </w:r>
        <w:r w:rsidR="00BC2D38">
          <w:rPr>
            <w:webHidden/>
          </w:rPr>
          <w:fldChar w:fldCharType="begin"/>
        </w:r>
        <w:r w:rsidR="00BC2D38">
          <w:rPr>
            <w:webHidden/>
          </w:rPr>
          <w:instrText xml:space="preserve"> PAGEREF _Toc5712734 \h </w:instrText>
        </w:r>
        <w:r w:rsidR="00BC2D38">
          <w:rPr>
            <w:webHidden/>
          </w:rPr>
        </w:r>
        <w:r w:rsidR="00BC2D38">
          <w:rPr>
            <w:webHidden/>
          </w:rPr>
          <w:fldChar w:fldCharType="separate"/>
        </w:r>
        <w:r w:rsidR="00BC2D38">
          <w:rPr>
            <w:webHidden/>
          </w:rPr>
          <w:t>4</w:t>
        </w:r>
        <w:r w:rsidR="00BC2D38">
          <w:rPr>
            <w:webHidden/>
          </w:rPr>
          <w:fldChar w:fldCharType="end"/>
        </w:r>
      </w:hyperlink>
    </w:p>
    <w:p w:rsidR="00BC2D38" w:rsidRDefault="003F0A31">
      <w:pPr>
        <w:pStyle w:val="Spistreci2"/>
        <w:tabs>
          <w:tab w:val="right" w:leader="dot" w:pos="9017"/>
        </w:tabs>
        <w:rPr>
          <w:noProof/>
          <w:lang w:eastAsia="pl-PL"/>
        </w:rPr>
      </w:pPr>
      <w:hyperlink w:anchor="_Toc5712735" w:history="1">
        <w:r w:rsidR="00BC2D38" w:rsidRPr="002605FA">
          <w:rPr>
            <w:rStyle w:val="Hipercze"/>
            <w:noProof/>
          </w:rPr>
          <w:t>Spory pracownicze dotyczące sędziów</w:t>
        </w:r>
        <w:r w:rsidR="00BC2D38">
          <w:rPr>
            <w:noProof/>
            <w:webHidden/>
          </w:rPr>
          <w:tab/>
        </w:r>
        <w:r w:rsidR="00BC2D38">
          <w:rPr>
            <w:noProof/>
            <w:webHidden/>
          </w:rPr>
          <w:fldChar w:fldCharType="begin"/>
        </w:r>
        <w:r w:rsidR="00BC2D38">
          <w:rPr>
            <w:noProof/>
            <w:webHidden/>
          </w:rPr>
          <w:instrText xml:space="preserve"> PAGEREF _Toc5712735 \h </w:instrText>
        </w:r>
        <w:r w:rsidR="00BC2D38">
          <w:rPr>
            <w:noProof/>
            <w:webHidden/>
          </w:rPr>
        </w:r>
        <w:r w:rsidR="00BC2D38">
          <w:rPr>
            <w:noProof/>
            <w:webHidden/>
          </w:rPr>
          <w:fldChar w:fldCharType="separate"/>
        </w:r>
        <w:r w:rsidR="00BC2D38">
          <w:rPr>
            <w:noProof/>
            <w:webHidden/>
          </w:rPr>
          <w:t>4</w:t>
        </w:r>
        <w:r w:rsidR="00BC2D38">
          <w:rPr>
            <w:noProof/>
            <w:webHidden/>
          </w:rPr>
          <w:fldChar w:fldCharType="end"/>
        </w:r>
      </w:hyperlink>
    </w:p>
    <w:p w:rsidR="00BC2D38" w:rsidRDefault="003F0A31">
      <w:pPr>
        <w:pStyle w:val="Spistreci3"/>
        <w:tabs>
          <w:tab w:val="right" w:leader="dot" w:pos="9017"/>
        </w:tabs>
        <w:rPr>
          <w:noProof/>
          <w:lang w:eastAsia="pl-PL"/>
        </w:rPr>
      </w:pPr>
      <w:hyperlink w:anchor="_Toc5712736" w:history="1">
        <w:r w:rsidR="00BC2D38" w:rsidRPr="002605FA">
          <w:rPr>
            <w:rStyle w:val="Hipercze"/>
            <w:noProof/>
          </w:rPr>
          <w:t>Możliwość stosowania art. 6 ust. 1</w:t>
        </w:r>
        <w:r w:rsidR="00BC2D38">
          <w:rPr>
            <w:noProof/>
            <w:webHidden/>
          </w:rPr>
          <w:tab/>
        </w:r>
        <w:r w:rsidR="00BC2D38">
          <w:rPr>
            <w:noProof/>
            <w:webHidden/>
          </w:rPr>
          <w:fldChar w:fldCharType="begin"/>
        </w:r>
        <w:r w:rsidR="00BC2D38">
          <w:rPr>
            <w:noProof/>
            <w:webHidden/>
          </w:rPr>
          <w:instrText xml:space="preserve"> PAGEREF _Toc5712736 \h </w:instrText>
        </w:r>
        <w:r w:rsidR="00BC2D38">
          <w:rPr>
            <w:noProof/>
            <w:webHidden/>
          </w:rPr>
        </w:r>
        <w:r w:rsidR="00BC2D38">
          <w:rPr>
            <w:noProof/>
            <w:webHidden/>
          </w:rPr>
          <w:fldChar w:fldCharType="separate"/>
        </w:r>
        <w:r w:rsidR="00BC2D38">
          <w:rPr>
            <w:noProof/>
            <w:webHidden/>
          </w:rPr>
          <w:t>4</w:t>
        </w:r>
        <w:r w:rsidR="00BC2D38">
          <w:rPr>
            <w:noProof/>
            <w:webHidden/>
          </w:rPr>
          <w:fldChar w:fldCharType="end"/>
        </w:r>
      </w:hyperlink>
    </w:p>
    <w:p w:rsidR="00BC2D38" w:rsidRDefault="003F0A31">
      <w:pPr>
        <w:pStyle w:val="Spistreci3"/>
        <w:tabs>
          <w:tab w:val="right" w:leader="dot" w:pos="9017"/>
        </w:tabs>
        <w:rPr>
          <w:noProof/>
          <w:lang w:eastAsia="pl-PL"/>
        </w:rPr>
      </w:pPr>
      <w:hyperlink w:anchor="_Toc5712737" w:history="1">
        <w:r w:rsidR="00BC2D38" w:rsidRPr="002605FA">
          <w:rPr>
            <w:rStyle w:val="Hipercze"/>
            <w:noProof/>
          </w:rPr>
          <w:t>Gwarancje wynikające z art. 6 ust. 1</w:t>
        </w:r>
        <w:r w:rsidR="00BC2D38">
          <w:rPr>
            <w:noProof/>
            <w:webHidden/>
          </w:rPr>
          <w:tab/>
        </w:r>
        <w:r w:rsidR="00BC2D38">
          <w:rPr>
            <w:noProof/>
            <w:webHidden/>
          </w:rPr>
          <w:fldChar w:fldCharType="begin"/>
        </w:r>
        <w:r w:rsidR="00BC2D38">
          <w:rPr>
            <w:noProof/>
            <w:webHidden/>
          </w:rPr>
          <w:instrText xml:space="preserve"> PAGEREF _Toc5712737 \h </w:instrText>
        </w:r>
        <w:r w:rsidR="00BC2D38">
          <w:rPr>
            <w:noProof/>
            <w:webHidden/>
          </w:rPr>
        </w:r>
        <w:r w:rsidR="00BC2D38">
          <w:rPr>
            <w:noProof/>
            <w:webHidden/>
          </w:rPr>
          <w:fldChar w:fldCharType="separate"/>
        </w:r>
        <w:r w:rsidR="00BC2D38">
          <w:rPr>
            <w:noProof/>
            <w:webHidden/>
          </w:rPr>
          <w:t>4</w:t>
        </w:r>
        <w:r w:rsidR="00BC2D38">
          <w:rPr>
            <w:noProof/>
            <w:webHidden/>
          </w:rPr>
          <w:fldChar w:fldCharType="end"/>
        </w:r>
      </w:hyperlink>
    </w:p>
    <w:p w:rsidR="00BC2D38" w:rsidRDefault="003F0A31">
      <w:pPr>
        <w:pStyle w:val="Spistreci3"/>
        <w:tabs>
          <w:tab w:val="right" w:leader="dot" w:pos="9017"/>
        </w:tabs>
        <w:rPr>
          <w:noProof/>
          <w:lang w:eastAsia="pl-PL"/>
        </w:rPr>
      </w:pPr>
      <w:hyperlink w:anchor="_Toc5712738" w:history="1">
        <w:r w:rsidR="00BC2D38" w:rsidRPr="002605FA">
          <w:rPr>
            <w:rStyle w:val="Hipercze"/>
            <w:noProof/>
          </w:rPr>
          <w:t>Postępowania dyscyplinarne przeciwko sędziom</w:t>
        </w:r>
        <w:r w:rsidR="00BC2D38">
          <w:rPr>
            <w:noProof/>
            <w:webHidden/>
          </w:rPr>
          <w:tab/>
        </w:r>
        <w:r w:rsidR="00BC2D38">
          <w:rPr>
            <w:noProof/>
            <w:webHidden/>
          </w:rPr>
          <w:fldChar w:fldCharType="begin"/>
        </w:r>
        <w:r w:rsidR="00BC2D38">
          <w:rPr>
            <w:noProof/>
            <w:webHidden/>
          </w:rPr>
          <w:instrText xml:space="preserve"> PAGEREF _Toc5712738 \h </w:instrText>
        </w:r>
        <w:r w:rsidR="00BC2D38">
          <w:rPr>
            <w:noProof/>
            <w:webHidden/>
          </w:rPr>
        </w:r>
        <w:r w:rsidR="00BC2D38">
          <w:rPr>
            <w:noProof/>
            <w:webHidden/>
          </w:rPr>
          <w:fldChar w:fldCharType="separate"/>
        </w:r>
        <w:r w:rsidR="00BC2D38">
          <w:rPr>
            <w:noProof/>
            <w:webHidden/>
          </w:rPr>
          <w:t>4</w:t>
        </w:r>
        <w:r w:rsidR="00BC2D38">
          <w:rPr>
            <w:noProof/>
            <w:webHidden/>
          </w:rPr>
          <w:fldChar w:fldCharType="end"/>
        </w:r>
      </w:hyperlink>
    </w:p>
    <w:p w:rsidR="00BC2D38" w:rsidRDefault="003F0A31">
      <w:pPr>
        <w:pStyle w:val="Spistreci1"/>
        <w:rPr>
          <w:b w:val="0"/>
          <w:bCs w:val="0"/>
          <w:color w:val="auto"/>
          <w:lang w:eastAsia="pl-PL"/>
        </w:rPr>
      </w:pPr>
      <w:hyperlink w:anchor="_Toc5712739" w:history="1">
        <w:r w:rsidR="00BC2D38" w:rsidRPr="002605FA">
          <w:rPr>
            <w:rStyle w:val="Hipercze"/>
          </w:rPr>
          <w:t>Artykuł 8</w:t>
        </w:r>
        <w:r w:rsidR="00BC2D38">
          <w:rPr>
            <w:webHidden/>
          </w:rPr>
          <w:tab/>
        </w:r>
        <w:r w:rsidR="00BC2D38">
          <w:rPr>
            <w:webHidden/>
          </w:rPr>
          <w:fldChar w:fldCharType="begin"/>
        </w:r>
        <w:r w:rsidR="00BC2D38">
          <w:rPr>
            <w:webHidden/>
          </w:rPr>
          <w:instrText xml:space="preserve"> PAGEREF _Toc5712739 \h </w:instrText>
        </w:r>
        <w:r w:rsidR="00BC2D38">
          <w:rPr>
            <w:webHidden/>
          </w:rPr>
        </w:r>
        <w:r w:rsidR="00BC2D38">
          <w:rPr>
            <w:webHidden/>
          </w:rPr>
          <w:fldChar w:fldCharType="separate"/>
        </w:r>
        <w:r w:rsidR="00BC2D38">
          <w:rPr>
            <w:webHidden/>
          </w:rPr>
          <w:t>4</w:t>
        </w:r>
        <w:r w:rsidR="00BC2D38">
          <w:rPr>
            <w:webHidden/>
          </w:rPr>
          <w:fldChar w:fldCharType="end"/>
        </w:r>
      </w:hyperlink>
    </w:p>
    <w:p w:rsidR="00BC2D38" w:rsidRDefault="003F0A31">
      <w:pPr>
        <w:pStyle w:val="Spistreci2"/>
        <w:tabs>
          <w:tab w:val="right" w:leader="dot" w:pos="9017"/>
        </w:tabs>
        <w:rPr>
          <w:noProof/>
          <w:lang w:eastAsia="pl-PL"/>
        </w:rPr>
      </w:pPr>
      <w:hyperlink w:anchor="_Toc5712740" w:history="1">
        <w:r w:rsidR="00BC2D38" w:rsidRPr="002605FA">
          <w:rPr>
            <w:rStyle w:val="Hipercze"/>
            <w:noProof/>
          </w:rPr>
          <w:t>Możliwość zastosowania art. 8</w:t>
        </w:r>
        <w:r w:rsidR="00BC2D38">
          <w:rPr>
            <w:noProof/>
            <w:webHidden/>
          </w:rPr>
          <w:tab/>
        </w:r>
        <w:r w:rsidR="00BC2D38">
          <w:rPr>
            <w:noProof/>
            <w:webHidden/>
          </w:rPr>
          <w:fldChar w:fldCharType="begin"/>
        </w:r>
        <w:r w:rsidR="00BC2D38">
          <w:rPr>
            <w:noProof/>
            <w:webHidden/>
          </w:rPr>
          <w:instrText xml:space="preserve"> PAGEREF _Toc5712740 \h </w:instrText>
        </w:r>
        <w:r w:rsidR="00BC2D38">
          <w:rPr>
            <w:noProof/>
            <w:webHidden/>
          </w:rPr>
        </w:r>
        <w:r w:rsidR="00BC2D38">
          <w:rPr>
            <w:noProof/>
            <w:webHidden/>
          </w:rPr>
          <w:fldChar w:fldCharType="separate"/>
        </w:r>
        <w:r w:rsidR="00BC2D38">
          <w:rPr>
            <w:noProof/>
            <w:webHidden/>
          </w:rPr>
          <w:t>4</w:t>
        </w:r>
        <w:r w:rsidR="00BC2D38">
          <w:rPr>
            <w:noProof/>
            <w:webHidden/>
          </w:rPr>
          <w:fldChar w:fldCharType="end"/>
        </w:r>
      </w:hyperlink>
    </w:p>
    <w:p w:rsidR="00BC2D38" w:rsidRDefault="003F0A31">
      <w:pPr>
        <w:pStyle w:val="Spistreci2"/>
        <w:tabs>
          <w:tab w:val="right" w:leader="dot" w:pos="9017"/>
        </w:tabs>
        <w:rPr>
          <w:noProof/>
          <w:lang w:eastAsia="pl-PL"/>
        </w:rPr>
      </w:pPr>
      <w:hyperlink w:anchor="_Toc5712741" w:history="1">
        <w:r w:rsidR="00BC2D38" w:rsidRPr="002605FA">
          <w:rPr>
            <w:rStyle w:val="Hipercze"/>
            <w:noProof/>
          </w:rPr>
          <w:t>Jakość prawa i</w:t>
        </w:r>
        <w:r w:rsidR="00BC2D38">
          <w:rPr>
            <w:rStyle w:val="Hipercze"/>
            <w:noProof/>
          </w:rPr>
          <w:t xml:space="preserve"> gwarancje procesowe</w:t>
        </w:r>
        <w:r w:rsidR="00BC2D38">
          <w:rPr>
            <w:noProof/>
            <w:webHidden/>
          </w:rPr>
          <w:tab/>
        </w:r>
        <w:r w:rsidR="00BC2D38">
          <w:rPr>
            <w:noProof/>
            <w:webHidden/>
          </w:rPr>
          <w:fldChar w:fldCharType="begin"/>
        </w:r>
        <w:r w:rsidR="00BC2D38">
          <w:rPr>
            <w:noProof/>
            <w:webHidden/>
          </w:rPr>
          <w:instrText xml:space="preserve"> PAGEREF _Toc5712741 \h </w:instrText>
        </w:r>
        <w:r w:rsidR="00BC2D38">
          <w:rPr>
            <w:noProof/>
            <w:webHidden/>
          </w:rPr>
        </w:r>
        <w:r w:rsidR="00BC2D38">
          <w:rPr>
            <w:noProof/>
            <w:webHidden/>
          </w:rPr>
          <w:fldChar w:fldCharType="separate"/>
        </w:r>
        <w:r w:rsidR="00BC2D38">
          <w:rPr>
            <w:noProof/>
            <w:webHidden/>
          </w:rPr>
          <w:t>4</w:t>
        </w:r>
        <w:r w:rsidR="00BC2D38">
          <w:rPr>
            <w:noProof/>
            <w:webHidden/>
          </w:rPr>
          <w:fldChar w:fldCharType="end"/>
        </w:r>
      </w:hyperlink>
    </w:p>
    <w:p w:rsidR="00BC2D38" w:rsidRDefault="003F0A31">
      <w:pPr>
        <w:pStyle w:val="Spistreci2"/>
        <w:tabs>
          <w:tab w:val="right" w:leader="dot" w:pos="9017"/>
        </w:tabs>
        <w:rPr>
          <w:noProof/>
          <w:lang w:eastAsia="pl-PL"/>
        </w:rPr>
      </w:pPr>
      <w:hyperlink w:anchor="_Toc5712742" w:history="1">
        <w:r w:rsidR="00BC2D38" w:rsidRPr="002605FA">
          <w:rPr>
            <w:rStyle w:val="Hipercze"/>
            <w:noProof/>
          </w:rPr>
          <w:t>Obowiązek powściągliwości i dyskrecji</w:t>
        </w:r>
        <w:r w:rsidR="00BC2D38">
          <w:rPr>
            <w:noProof/>
            <w:webHidden/>
          </w:rPr>
          <w:tab/>
        </w:r>
        <w:r w:rsidR="00BC2D38">
          <w:rPr>
            <w:noProof/>
            <w:webHidden/>
          </w:rPr>
          <w:fldChar w:fldCharType="begin"/>
        </w:r>
        <w:r w:rsidR="00BC2D38">
          <w:rPr>
            <w:noProof/>
            <w:webHidden/>
          </w:rPr>
          <w:instrText xml:space="preserve"> PAGEREF _Toc5712742 \h </w:instrText>
        </w:r>
        <w:r w:rsidR="00BC2D38">
          <w:rPr>
            <w:noProof/>
            <w:webHidden/>
          </w:rPr>
        </w:r>
        <w:r w:rsidR="00BC2D38">
          <w:rPr>
            <w:noProof/>
            <w:webHidden/>
          </w:rPr>
          <w:fldChar w:fldCharType="separate"/>
        </w:r>
        <w:r w:rsidR="00BC2D38">
          <w:rPr>
            <w:noProof/>
            <w:webHidden/>
          </w:rPr>
          <w:t>4</w:t>
        </w:r>
        <w:r w:rsidR="00BC2D38">
          <w:rPr>
            <w:noProof/>
            <w:webHidden/>
          </w:rPr>
          <w:fldChar w:fldCharType="end"/>
        </w:r>
      </w:hyperlink>
    </w:p>
    <w:p w:rsidR="00BC2D38" w:rsidRDefault="003F0A31">
      <w:pPr>
        <w:pStyle w:val="Spistreci1"/>
        <w:rPr>
          <w:b w:val="0"/>
          <w:bCs w:val="0"/>
          <w:color w:val="auto"/>
          <w:lang w:eastAsia="pl-PL"/>
        </w:rPr>
      </w:pPr>
      <w:hyperlink w:anchor="_Toc5712743" w:history="1">
        <w:r w:rsidR="00BC2D38" w:rsidRPr="002605FA">
          <w:rPr>
            <w:rStyle w:val="Hipercze"/>
          </w:rPr>
          <w:t>Artykuł 10</w:t>
        </w:r>
        <w:r w:rsidR="00BC2D38">
          <w:rPr>
            <w:webHidden/>
          </w:rPr>
          <w:tab/>
        </w:r>
        <w:r w:rsidR="00BC2D38">
          <w:rPr>
            <w:webHidden/>
          </w:rPr>
          <w:fldChar w:fldCharType="begin"/>
        </w:r>
        <w:r w:rsidR="00BC2D38">
          <w:rPr>
            <w:webHidden/>
          </w:rPr>
          <w:instrText xml:space="preserve"> PAGEREF _Toc5712743 \h </w:instrText>
        </w:r>
        <w:r w:rsidR="00BC2D38">
          <w:rPr>
            <w:webHidden/>
          </w:rPr>
        </w:r>
        <w:r w:rsidR="00BC2D38">
          <w:rPr>
            <w:webHidden/>
          </w:rPr>
          <w:fldChar w:fldCharType="separate"/>
        </w:r>
        <w:r w:rsidR="00BC2D38">
          <w:rPr>
            <w:webHidden/>
          </w:rPr>
          <w:t>4</w:t>
        </w:r>
        <w:r w:rsidR="00BC2D38">
          <w:rPr>
            <w:webHidden/>
          </w:rPr>
          <w:fldChar w:fldCharType="end"/>
        </w:r>
      </w:hyperlink>
    </w:p>
    <w:p w:rsidR="00BC2D38" w:rsidRDefault="003F0A31">
      <w:pPr>
        <w:pStyle w:val="Spistreci2"/>
        <w:tabs>
          <w:tab w:val="right" w:leader="dot" w:pos="9017"/>
        </w:tabs>
        <w:rPr>
          <w:noProof/>
          <w:lang w:eastAsia="pl-PL"/>
        </w:rPr>
      </w:pPr>
      <w:hyperlink w:anchor="_Toc5712744" w:history="1">
        <w:r w:rsidR="00BC2D38" w:rsidRPr="002605FA">
          <w:rPr>
            <w:rStyle w:val="Hipercze"/>
            <w:noProof/>
          </w:rPr>
          <w:t>Możliwość zastosowania art. 10 i zasad ogólnych</w:t>
        </w:r>
        <w:r w:rsidR="00BC2D38">
          <w:rPr>
            <w:noProof/>
            <w:webHidden/>
          </w:rPr>
          <w:tab/>
        </w:r>
        <w:r w:rsidR="00BC2D38">
          <w:rPr>
            <w:noProof/>
            <w:webHidden/>
          </w:rPr>
          <w:fldChar w:fldCharType="begin"/>
        </w:r>
        <w:r w:rsidR="00BC2D38">
          <w:rPr>
            <w:noProof/>
            <w:webHidden/>
          </w:rPr>
          <w:instrText xml:space="preserve"> PAGEREF _Toc5712744 \h </w:instrText>
        </w:r>
        <w:r w:rsidR="00BC2D38">
          <w:rPr>
            <w:noProof/>
            <w:webHidden/>
          </w:rPr>
        </w:r>
        <w:r w:rsidR="00BC2D38">
          <w:rPr>
            <w:noProof/>
            <w:webHidden/>
          </w:rPr>
          <w:fldChar w:fldCharType="separate"/>
        </w:r>
        <w:r w:rsidR="00BC2D38">
          <w:rPr>
            <w:noProof/>
            <w:webHidden/>
          </w:rPr>
          <w:t>4</w:t>
        </w:r>
        <w:r w:rsidR="00BC2D38">
          <w:rPr>
            <w:noProof/>
            <w:webHidden/>
          </w:rPr>
          <w:fldChar w:fldCharType="end"/>
        </w:r>
      </w:hyperlink>
    </w:p>
    <w:p w:rsidR="00BC2D38" w:rsidRDefault="003F0A31">
      <w:pPr>
        <w:pStyle w:val="Spistreci2"/>
        <w:tabs>
          <w:tab w:val="right" w:leader="dot" w:pos="9017"/>
        </w:tabs>
        <w:rPr>
          <w:noProof/>
          <w:lang w:eastAsia="pl-PL"/>
        </w:rPr>
      </w:pPr>
      <w:hyperlink w:anchor="_Toc5712745" w:history="1">
        <w:r w:rsidR="00BC2D38" w:rsidRPr="002605FA">
          <w:rPr>
            <w:rStyle w:val="Hipercze"/>
            <w:noProof/>
          </w:rPr>
          <w:t>Wypowiedzi sędziów</w:t>
        </w:r>
        <w:r w:rsidR="00BC2D38">
          <w:rPr>
            <w:noProof/>
            <w:webHidden/>
          </w:rPr>
          <w:tab/>
        </w:r>
        <w:r w:rsidR="00BC2D38">
          <w:rPr>
            <w:noProof/>
            <w:webHidden/>
          </w:rPr>
          <w:fldChar w:fldCharType="begin"/>
        </w:r>
        <w:r w:rsidR="00BC2D38">
          <w:rPr>
            <w:noProof/>
            <w:webHidden/>
          </w:rPr>
          <w:instrText xml:space="preserve"> PAGEREF _Toc5712745 \h </w:instrText>
        </w:r>
        <w:r w:rsidR="00BC2D38">
          <w:rPr>
            <w:noProof/>
            <w:webHidden/>
          </w:rPr>
        </w:r>
        <w:r w:rsidR="00BC2D38">
          <w:rPr>
            <w:noProof/>
            <w:webHidden/>
          </w:rPr>
          <w:fldChar w:fldCharType="separate"/>
        </w:r>
        <w:r w:rsidR="00BC2D38">
          <w:rPr>
            <w:noProof/>
            <w:webHidden/>
          </w:rPr>
          <w:t>4</w:t>
        </w:r>
        <w:r w:rsidR="00BC2D38">
          <w:rPr>
            <w:noProof/>
            <w:webHidden/>
          </w:rPr>
          <w:fldChar w:fldCharType="end"/>
        </w:r>
      </w:hyperlink>
    </w:p>
    <w:p w:rsidR="00BC2D38" w:rsidRDefault="003F0A31">
      <w:pPr>
        <w:pStyle w:val="Spistreci3"/>
        <w:tabs>
          <w:tab w:val="right" w:leader="dot" w:pos="9017"/>
        </w:tabs>
        <w:rPr>
          <w:noProof/>
          <w:lang w:eastAsia="pl-PL"/>
        </w:rPr>
      </w:pPr>
      <w:hyperlink w:anchor="_Toc5712746" w:history="1">
        <w:r w:rsidR="00BC2D38" w:rsidRPr="002605FA">
          <w:rPr>
            <w:rStyle w:val="Hipercze"/>
            <w:noProof/>
          </w:rPr>
          <w:t>Wysoki poziom ochrony na podstawie art. 10</w:t>
        </w:r>
        <w:r w:rsidR="00BC2D38">
          <w:rPr>
            <w:noProof/>
            <w:webHidden/>
          </w:rPr>
          <w:tab/>
        </w:r>
        <w:r w:rsidR="00BC2D38">
          <w:rPr>
            <w:noProof/>
            <w:webHidden/>
          </w:rPr>
          <w:fldChar w:fldCharType="begin"/>
        </w:r>
        <w:r w:rsidR="00BC2D38">
          <w:rPr>
            <w:noProof/>
            <w:webHidden/>
          </w:rPr>
          <w:instrText xml:space="preserve"> PAGEREF _Toc5712746 \h </w:instrText>
        </w:r>
        <w:r w:rsidR="00BC2D38">
          <w:rPr>
            <w:noProof/>
            <w:webHidden/>
          </w:rPr>
        </w:r>
        <w:r w:rsidR="00BC2D38">
          <w:rPr>
            <w:noProof/>
            <w:webHidden/>
          </w:rPr>
          <w:fldChar w:fldCharType="separate"/>
        </w:r>
        <w:r w:rsidR="00BC2D38">
          <w:rPr>
            <w:noProof/>
            <w:webHidden/>
          </w:rPr>
          <w:t>4</w:t>
        </w:r>
        <w:r w:rsidR="00BC2D38">
          <w:rPr>
            <w:noProof/>
            <w:webHidden/>
          </w:rPr>
          <w:fldChar w:fldCharType="end"/>
        </w:r>
      </w:hyperlink>
    </w:p>
    <w:p w:rsidR="00BC2D38" w:rsidRDefault="003F0A31">
      <w:pPr>
        <w:pStyle w:val="Spistreci3"/>
        <w:tabs>
          <w:tab w:val="right" w:leader="dot" w:pos="9017"/>
        </w:tabs>
        <w:rPr>
          <w:noProof/>
          <w:lang w:eastAsia="pl-PL"/>
        </w:rPr>
      </w:pPr>
      <w:hyperlink w:anchor="_Toc5712747" w:history="1">
        <w:r w:rsidR="00BC2D38" w:rsidRPr="002605FA">
          <w:rPr>
            <w:rStyle w:val="Hipercze"/>
            <w:noProof/>
          </w:rPr>
          <w:t>Obowiązek powściągliwości i dyskrecji</w:t>
        </w:r>
        <w:r w:rsidR="00BC2D38">
          <w:rPr>
            <w:noProof/>
            <w:webHidden/>
          </w:rPr>
          <w:tab/>
        </w:r>
        <w:r w:rsidR="00BC2D38">
          <w:rPr>
            <w:noProof/>
            <w:webHidden/>
          </w:rPr>
          <w:fldChar w:fldCharType="begin"/>
        </w:r>
        <w:r w:rsidR="00BC2D38">
          <w:rPr>
            <w:noProof/>
            <w:webHidden/>
          </w:rPr>
          <w:instrText xml:space="preserve"> PAGEREF _Toc5712747 \h </w:instrText>
        </w:r>
        <w:r w:rsidR="00BC2D38">
          <w:rPr>
            <w:noProof/>
            <w:webHidden/>
          </w:rPr>
        </w:r>
        <w:r w:rsidR="00BC2D38">
          <w:rPr>
            <w:noProof/>
            <w:webHidden/>
          </w:rPr>
          <w:fldChar w:fldCharType="separate"/>
        </w:r>
        <w:r w:rsidR="00BC2D38">
          <w:rPr>
            <w:noProof/>
            <w:webHidden/>
          </w:rPr>
          <w:t>4</w:t>
        </w:r>
        <w:r w:rsidR="00BC2D38">
          <w:rPr>
            <w:noProof/>
            <w:webHidden/>
          </w:rPr>
          <w:fldChar w:fldCharType="end"/>
        </w:r>
      </w:hyperlink>
    </w:p>
    <w:p w:rsidR="00BC2D38" w:rsidRDefault="003F0A31">
      <w:pPr>
        <w:pStyle w:val="Spistreci2"/>
        <w:tabs>
          <w:tab w:val="right" w:leader="dot" w:pos="9017"/>
        </w:tabs>
        <w:rPr>
          <w:noProof/>
          <w:lang w:eastAsia="pl-PL"/>
        </w:rPr>
      </w:pPr>
      <w:hyperlink w:anchor="_Toc5712748" w:history="1">
        <w:r w:rsidR="00BC2D38" w:rsidRPr="002605FA">
          <w:rPr>
            <w:rStyle w:val="Hipercze"/>
            <w:noProof/>
          </w:rPr>
          <w:t>Wypowiedzi wymierzone w sędziów (Zniesławienie sędziów i obraza sądu)</w:t>
        </w:r>
        <w:r w:rsidR="00BC2D38">
          <w:rPr>
            <w:noProof/>
            <w:webHidden/>
          </w:rPr>
          <w:tab/>
        </w:r>
        <w:r w:rsidR="00BC2D38">
          <w:rPr>
            <w:noProof/>
            <w:webHidden/>
          </w:rPr>
          <w:fldChar w:fldCharType="begin"/>
        </w:r>
        <w:r w:rsidR="00BC2D38">
          <w:rPr>
            <w:noProof/>
            <w:webHidden/>
          </w:rPr>
          <w:instrText xml:space="preserve"> PAGEREF _Toc5712748 \h </w:instrText>
        </w:r>
        <w:r w:rsidR="00BC2D38">
          <w:rPr>
            <w:noProof/>
            <w:webHidden/>
          </w:rPr>
        </w:r>
        <w:r w:rsidR="00BC2D38">
          <w:rPr>
            <w:noProof/>
            <w:webHidden/>
          </w:rPr>
          <w:fldChar w:fldCharType="separate"/>
        </w:r>
        <w:r w:rsidR="00BC2D38">
          <w:rPr>
            <w:noProof/>
            <w:webHidden/>
          </w:rPr>
          <w:t>4</w:t>
        </w:r>
        <w:r w:rsidR="00BC2D38">
          <w:rPr>
            <w:noProof/>
            <w:webHidden/>
          </w:rPr>
          <w:fldChar w:fldCharType="end"/>
        </w:r>
      </w:hyperlink>
    </w:p>
    <w:p w:rsidR="00BC2D38" w:rsidRDefault="003F0A31">
      <w:pPr>
        <w:pStyle w:val="Spistreci3"/>
        <w:tabs>
          <w:tab w:val="right" w:leader="dot" w:pos="9017"/>
        </w:tabs>
        <w:rPr>
          <w:noProof/>
          <w:lang w:eastAsia="pl-PL"/>
        </w:rPr>
      </w:pPr>
      <w:hyperlink w:anchor="_Toc5712749" w:history="1">
        <w:r w:rsidR="00BC2D38" w:rsidRPr="002605FA">
          <w:rPr>
            <w:rStyle w:val="Hipercze"/>
            <w:noProof/>
          </w:rPr>
          <w:t>Szersze granice dopuszczalnej krytyki</w:t>
        </w:r>
        <w:r w:rsidR="00BC2D38">
          <w:rPr>
            <w:noProof/>
            <w:webHidden/>
          </w:rPr>
          <w:tab/>
        </w:r>
        <w:r w:rsidR="00BC2D38">
          <w:rPr>
            <w:noProof/>
            <w:webHidden/>
          </w:rPr>
          <w:fldChar w:fldCharType="begin"/>
        </w:r>
        <w:r w:rsidR="00BC2D38">
          <w:rPr>
            <w:noProof/>
            <w:webHidden/>
          </w:rPr>
          <w:instrText xml:space="preserve"> PAGEREF _Toc5712749 \h </w:instrText>
        </w:r>
        <w:r w:rsidR="00BC2D38">
          <w:rPr>
            <w:noProof/>
            <w:webHidden/>
          </w:rPr>
        </w:r>
        <w:r w:rsidR="00BC2D38">
          <w:rPr>
            <w:noProof/>
            <w:webHidden/>
          </w:rPr>
          <w:fldChar w:fldCharType="separate"/>
        </w:r>
        <w:r w:rsidR="00BC2D38">
          <w:rPr>
            <w:noProof/>
            <w:webHidden/>
          </w:rPr>
          <w:t>4</w:t>
        </w:r>
        <w:r w:rsidR="00BC2D38">
          <w:rPr>
            <w:noProof/>
            <w:webHidden/>
          </w:rPr>
          <w:fldChar w:fldCharType="end"/>
        </w:r>
      </w:hyperlink>
    </w:p>
    <w:p w:rsidR="00BC2D38" w:rsidRDefault="003F0A31">
      <w:pPr>
        <w:pStyle w:val="Spistreci3"/>
        <w:tabs>
          <w:tab w:val="right" w:leader="dot" w:pos="9017"/>
        </w:tabs>
        <w:rPr>
          <w:noProof/>
          <w:lang w:eastAsia="pl-PL"/>
        </w:rPr>
      </w:pPr>
      <w:hyperlink w:anchor="_Toc5712750" w:history="1">
        <w:r w:rsidR="00BC2D38" w:rsidRPr="002605FA">
          <w:rPr>
            <w:rStyle w:val="Hipercze"/>
            <w:noProof/>
          </w:rPr>
          <w:t>Oddziaływanie wypowiedzi na zaufanie publiczne względem wymiaru sprawiedliwości</w:t>
        </w:r>
        <w:r w:rsidR="00BC2D38">
          <w:rPr>
            <w:noProof/>
            <w:webHidden/>
          </w:rPr>
          <w:tab/>
        </w:r>
        <w:r w:rsidR="00BC2D38">
          <w:rPr>
            <w:noProof/>
            <w:webHidden/>
          </w:rPr>
          <w:fldChar w:fldCharType="begin"/>
        </w:r>
        <w:r w:rsidR="00BC2D38">
          <w:rPr>
            <w:noProof/>
            <w:webHidden/>
          </w:rPr>
          <w:instrText xml:space="preserve"> PAGEREF _Toc5712750 \h </w:instrText>
        </w:r>
        <w:r w:rsidR="00BC2D38">
          <w:rPr>
            <w:noProof/>
            <w:webHidden/>
          </w:rPr>
        </w:r>
        <w:r w:rsidR="00BC2D38">
          <w:rPr>
            <w:noProof/>
            <w:webHidden/>
          </w:rPr>
          <w:fldChar w:fldCharType="separate"/>
        </w:r>
        <w:r w:rsidR="00BC2D38">
          <w:rPr>
            <w:noProof/>
            <w:webHidden/>
          </w:rPr>
          <w:t>4</w:t>
        </w:r>
        <w:r w:rsidR="00BC2D38">
          <w:rPr>
            <w:noProof/>
            <w:webHidden/>
          </w:rPr>
          <w:fldChar w:fldCharType="end"/>
        </w:r>
      </w:hyperlink>
    </w:p>
    <w:p w:rsidR="00BC2D38" w:rsidRDefault="003F0A31">
      <w:pPr>
        <w:pStyle w:val="Spistreci3"/>
        <w:tabs>
          <w:tab w:val="right" w:leader="dot" w:pos="9017"/>
        </w:tabs>
        <w:rPr>
          <w:noProof/>
          <w:lang w:eastAsia="pl-PL"/>
        </w:rPr>
      </w:pPr>
      <w:hyperlink w:anchor="_Toc5712751" w:history="1">
        <w:r w:rsidR="00BC2D38" w:rsidRPr="002605FA">
          <w:rPr>
            <w:rStyle w:val="Hipercze"/>
            <w:noProof/>
          </w:rPr>
          <w:t>Autor oświadczeń</w:t>
        </w:r>
        <w:r w:rsidR="00BC2D38">
          <w:rPr>
            <w:noProof/>
            <w:webHidden/>
          </w:rPr>
          <w:tab/>
        </w:r>
        <w:r w:rsidR="00BC2D38">
          <w:rPr>
            <w:noProof/>
            <w:webHidden/>
          </w:rPr>
          <w:fldChar w:fldCharType="begin"/>
        </w:r>
        <w:r w:rsidR="00BC2D38">
          <w:rPr>
            <w:noProof/>
            <w:webHidden/>
          </w:rPr>
          <w:instrText xml:space="preserve"> PAGEREF _Toc5712751 \h </w:instrText>
        </w:r>
        <w:r w:rsidR="00BC2D38">
          <w:rPr>
            <w:noProof/>
            <w:webHidden/>
          </w:rPr>
        </w:r>
        <w:r w:rsidR="00BC2D38">
          <w:rPr>
            <w:noProof/>
            <w:webHidden/>
          </w:rPr>
          <w:fldChar w:fldCharType="separate"/>
        </w:r>
        <w:r w:rsidR="00BC2D38">
          <w:rPr>
            <w:noProof/>
            <w:webHidden/>
          </w:rPr>
          <w:t>4</w:t>
        </w:r>
        <w:r w:rsidR="00BC2D38">
          <w:rPr>
            <w:noProof/>
            <w:webHidden/>
          </w:rPr>
          <w:fldChar w:fldCharType="end"/>
        </w:r>
      </w:hyperlink>
    </w:p>
    <w:p w:rsidR="00BC2D38" w:rsidRDefault="003F0A31">
      <w:pPr>
        <w:pStyle w:val="Spistreci1"/>
        <w:rPr>
          <w:b w:val="0"/>
          <w:bCs w:val="0"/>
          <w:color w:val="auto"/>
          <w:lang w:eastAsia="pl-PL"/>
        </w:rPr>
      </w:pPr>
      <w:hyperlink w:anchor="_Toc5712752" w:history="1">
        <w:r w:rsidR="00BC2D38" w:rsidRPr="002605FA">
          <w:rPr>
            <w:rStyle w:val="Hipercze"/>
          </w:rPr>
          <w:t>Artykuł 11</w:t>
        </w:r>
        <w:r w:rsidR="00BC2D38">
          <w:rPr>
            <w:webHidden/>
          </w:rPr>
          <w:tab/>
        </w:r>
        <w:r w:rsidR="00BC2D38">
          <w:rPr>
            <w:webHidden/>
          </w:rPr>
          <w:fldChar w:fldCharType="begin"/>
        </w:r>
        <w:r w:rsidR="00BC2D38">
          <w:rPr>
            <w:webHidden/>
          </w:rPr>
          <w:instrText xml:space="preserve"> PAGEREF _Toc5712752 \h </w:instrText>
        </w:r>
        <w:r w:rsidR="00BC2D38">
          <w:rPr>
            <w:webHidden/>
          </w:rPr>
        </w:r>
        <w:r w:rsidR="00BC2D38">
          <w:rPr>
            <w:webHidden/>
          </w:rPr>
          <w:fldChar w:fldCharType="separate"/>
        </w:r>
        <w:r w:rsidR="00BC2D38">
          <w:rPr>
            <w:webHidden/>
          </w:rPr>
          <w:t>4</w:t>
        </w:r>
        <w:r w:rsidR="00BC2D38">
          <w:rPr>
            <w:webHidden/>
          </w:rPr>
          <w:fldChar w:fldCharType="end"/>
        </w:r>
      </w:hyperlink>
    </w:p>
    <w:p w:rsidR="00BC2D38" w:rsidRDefault="003F0A31">
      <w:pPr>
        <w:pStyle w:val="Spistreci1"/>
        <w:rPr>
          <w:b w:val="0"/>
          <w:bCs w:val="0"/>
          <w:color w:val="auto"/>
          <w:lang w:eastAsia="pl-PL"/>
        </w:rPr>
      </w:pPr>
      <w:hyperlink w:anchor="_Toc5712753" w:history="1">
        <w:r w:rsidR="00BC2D38" w:rsidRPr="002605FA">
          <w:rPr>
            <w:rStyle w:val="Hipercze"/>
          </w:rPr>
          <w:t>Bibliografia</w:t>
        </w:r>
        <w:r w:rsidR="00BC2D38">
          <w:rPr>
            <w:webHidden/>
          </w:rPr>
          <w:tab/>
        </w:r>
        <w:r w:rsidR="00BC2D38">
          <w:rPr>
            <w:webHidden/>
          </w:rPr>
          <w:fldChar w:fldCharType="begin"/>
        </w:r>
        <w:r w:rsidR="00BC2D38">
          <w:rPr>
            <w:webHidden/>
          </w:rPr>
          <w:instrText xml:space="preserve"> PAGEREF _Toc5712753 \h </w:instrText>
        </w:r>
        <w:r w:rsidR="00BC2D38">
          <w:rPr>
            <w:webHidden/>
          </w:rPr>
        </w:r>
        <w:r w:rsidR="00BC2D38">
          <w:rPr>
            <w:webHidden/>
          </w:rPr>
          <w:fldChar w:fldCharType="separate"/>
        </w:r>
        <w:r w:rsidR="00BC2D38">
          <w:rPr>
            <w:webHidden/>
          </w:rPr>
          <w:t>4</w:t>
        </w:r>
        <w:r w:rsidR="00BC2D38">
          <w:rPr>
            <w:webHidden/>
          </w:rPr>
          <w:fldChar w:fldCharType="end"/>
        </w:r>
      </w:hyperlink>
    </w:p>
    <w:p w:rsidR="00BC2D38" w:rsidRDefault="003F0A31">
      <w:pPr>
        <w:pStyle w:val="Spistreci2"/>
        <w:tabs>
          <w:tab w:val="right" w:leader="dot" w:pos="9017"/>
        </w:tabs>
        <w:rPr>
          <w:noProof/>
          <w:lang w:eastAsia="pl-PL"/>
        </w:rPr>
      </w:pPr>
      <w:hyperlink w:anchor="_Toc5712754" w:history="1">
        <w:r w:rsidR="00BC2D38" w:rsidRPr="002605FA">
          <w:rPr>
            <w:rStyle w:val="Hipercze"/>
            <w:i/>
            <w:iCs/>
            <w:noProof/>
          </w:rPr>
          <w:t>Arkusze informacyjne dla mediów:</w:t>
        </w:r>
        <w:r w:rsidR="00BC2D38">
          <w:rPr>
            <w:noProof/>
            <w:webHidden/>
          </w:rPr>
          <w:tab/>
        </w:r>
        <w:r w:rsidR="00BC2D38">
          <w:rPr>
            <w:noProof/>
            <w:webHidden/>
          </w:rPr>
          <w:fldChar w:fldCharType="begin"/>
        </w:r>
        <w:r w:rsidR="00BC2D38">
          <w:rPr>
            <w:noProof/>
            <w:webHidden/>
          </w:rPr>
          <w:instrText xml:space="preserve"> PAGEREF _Toc5712754 \h </w:instrText>
        </w:r>
        <w:r w:rsidR="00BC2D38">
          <w:rPr>
            <w:noProof/>
            <w:webHidden/>
          </w:rPr>
        </w:r>
        <w:r w:rsidR="00BC2D38">
          <w:rPr>
            <w:noProof/>
            <w:webHidden/>
          </w:rPr>
          <w:fldChar w:fldCharType="separate"/>
        </w:r>
        <w:r w:rsidR="00BC2D38">
          <w:rPr>
            <w:noProof/>
            <w:webHidden/>
          </w:rPr>
          <w:t>4</w:t>
        </w:r>
        <w:r w:rsidR="00BC2D38">
          <w:rPr>
            <w:noProof/>
            <w:webHidden/>
          </w:rPr>
          <w:fldChar w:fldCharType="end"/>
        </w:r>
      </w:hyperlink>
    </w:p>
    <w:p w:rsidR="00BC2D38" w:rsidRDefault="003F0A31">
      <w:pPr>
        <w:pStyle w:val="Spistreci2"/>
        <w:tabs>
          <w:tab w:val="right" w:leader="dot" w:pos="9017"/>
        </w:tabs>
        <w:rPr>
          <w:noProof/>
          <w:lang w:eastAsia="pl-PL"/>
        </w:rPr>
      </w:pPr>
      <w:hyperlink w:anchor="_Toc5712755" w:history="1">
        <w:r w:rsidR="00BC2D38" w:rsidRPr="002605FA">
          <w:rPr>
            <w:rStyle w:val="Hipercze"/>
            <w:i/>
            <w:iCs/>
            <w:noProof/>
          </w:rPr>
          <w:t>Inne</w:t>
        </w:r>
        <w:r w:rsidR="00BC2D38">
          <w:rPr>
            <w:noProof/>
            <w:webHidden/>
          </w:rPr>
          <w:tab/>
        </w:r>
        <w:r w:rsidR="00BC2D38">
          <w:rPr>
            <w:noProof/>
            <w:webHidden/>
          </w:rPr>
          <w:fldChar w:fldCharType="begin"/>
        </w:r>
        <w:r w:rsidR="00BC2D38">
          <w:rPr>
            <w:noProof/>
            <w:webHidden/>
          </w:rPr>
          <w:instrText xml:space="preserve"> PAGEREF _Toc5712755 \h </w:instrText>
        </w:r>
        <w:r w:rsidR="00BC2D38">
          <w:rPr>
            <w:noProof/>
            <w:webHidden/>
          </w:rPr>
        </w:r>
        <w:r w:rsidR="00BC2D38">
          <w:rPr>
            <w:noProof/>
            <w:webHidden/>
          </w:rPr>
          <w:fldChar w:fldCharType="separate"/>
        </w:r>
        <w:r w:rsidR="00BC2D38">
          <w:rPr>
            <w:noProof/>
            <w:webHidden/>
          </w:rPr>
          <w:t>4</w:t>
        </w:r>
        <w:r w:rsidR="00BC2D38">
          <w:rPr>
            <w:noProof/>
            <w:webHidden/>
          </w:rPr>
          <w:fldChar w:fldCharType="end"/>
        </w:r>
      </w:hyperlink>
    </w:p>
    <w:p w:rsidR="00BC2D38" w:rsidRDefault="003F0A31">
      <w:pPr>
        <w:pStyle w:val="Spistreci1"/>
        <w:rPr>
          <w:b w:val="0"/>
          <w:bCs w:val="0"/>
          <w:color w:val="auto"/>
          <w:lang w:eastAsia="pl-PL"/>
        </w:rPr>
      </w:pPr>
      <w:hyperlink w:anchor="_Toc5712756" w:history="1">
        <w:r w:rsidR="00BC2D38" w:rsidRPr="002605FA">
          <w:rPr>
            <w:rStyle w:val="Hipercze"/>
          </w:rPr>
          <w:t>Orzecznictwo</w:t>
        </w:r>
        <w:r w:rsidR="00BC2D38">
          <w:rPr>
            <w:webHidden/>
          </w:rPr>
          <w:tab/>
        </w:r>
        <w:r w:rsidR="00BC2D38">
          <w:rPr>
            <w:webHidden/>
          </w:rPr>
          <w:fldChar w:fldCharType="begin"/>
        </w:r>
        <w:r w:rsidR="00BC2D38">
          <w:rPr>
            <w:webHidden/>
          </w:rPr>
          <w:instrText xml:space="preserve"> PAGEREF _Toc5712756 \h </w:instrText>
        </w:r>
        <w:r w:rsidR="00BC2D38">
          <w:rPr>
            <w:webHidden/>
          </w:rPr>
        </w:r>
        <w:r w:rsidR="00BC2D38">
          <w:rPr>
            <w:webHidden/>
          </w:rPr>
          <w:fldChar w:fldCharType="separate"/>
        </w:r>
        <w:r w:rsidR="00BC2D38">
          <w:rPr>
            <w:webHidden/>
          </w:rPr>
          <w:t>4</w:t>
        </w:r>
        <w:r w:rsidR="00BC2D38">
          <w:rPr>
            <w:webHidden/>
          </w:rPr>
          <w:fldChar w:fldCharType="end"/>
        </w:r>
      </w:hyperlink>
    </w:p>
    <w:p w:rsidR="00BC2D38" w:rsidRPr="00123B8E" w:rsidRDefault="00BC2D38" w:rsidP="00C2389D">
      <w:r w:rsidRPr="00802736">
        <w:fldChar w:fldCharType="end"/>
      </w:r>
    </w:p>
    <w:p w:rsidR="00BC2D38" w:rsidRDefault="00BC2D38" w:rsidP="00C2389D">
      <w:pPr>
        <w:pStyle w:val="ECHRTitleCentre1"/>
        <w:sectPr w:rsidR="00BC2D38" w:rsidSect="00A6035E">
          <w:headerReference w:type="first" r:id="rId11"/>
          <w:footerReference w:type="first" r:id="rId12"/>
          <w:pgSz w:w="11907" w:h="16840" w:code="9"/>
          <w:pgMar w:top="1440" w:right="1440" w:bottom="1440" w:left="1440" w:header="454" w:footer="340" w:gutter="0"/>
          <w:cols w:space="708"/>
          <w:titlePg/>
          <w:docGrid w:linePitch="360"/>
        </w:sectPr>
      </w:pPr>
    </w:p>
    <w:p w:rsidR="00BC2D38" w:rsidRPr="00802736" w:rsidRDefault="00BC2D38" w:rsidP="00C2389D">
      <w:pPr>
        <w:pStyle w:val="ECHRHeading1"/>
        <w:rPr>
          <w:rFonts w:cs="Times New Roman"/>
        </w:rPr>
      </w:pPr>
      <w:bookmarkStart w:id="2" w:name="_Toc5712730"/>
      <w:r>
        <w:lastRenderedPageBreak/>
        <w:t>Wprowadzenie</w:t>
      </w:r>
      <w:bookmarkEnd w:id="2"/>
    </w:p>
    <w:p w:rsidR="00BC2D38" w:rsidRPr="00CA4904" w:rsidRDefault="00BC2D38" w:rsidP="005B65DD">
      <w:pPr>
        <w:pStyle w:val="ECHRParaSpaced"/>
      </w:pPr>
      <w:r>
        <w:t>Trybunał wypracował obszerne orzecznictwo dotyczące praw i obowiązków uczestników procesu, w tym przede wszystkim sędziów. Ze względu na sprawowaną przez nich funkcję polegającą na stosowaniu prawa i rozstrzyganiu zawisłych sporów, ale również reprezentowaniu wymiaru sprawiedliwości, sędziowie mają w świetle Konwencji szczególne prawa i obowiązki. Krótkie opracowanie przedstawia w sposób niewyczerpujący prawa i obowiązki w świetle orzecznictwa Trybunału w różnych sytuacjach oraz w świetle niektórych postanowień Konwencji.</w:t>
      </w:r>
    </w:p>
    <w:p w:rsidR="00BC2D38" w:rsidRPr="00802736" w:rsidRDefault="00BC2D38" w:rsidP="005B65DD">
      <w:pPr>
        <w:pStyle w:val="ECHRParaSpaced"/>
      </w:pPr>
    </w:p>
    <w:p w:rsidR="00BC2D38" w:rsidRPr="00802736" w:rsidRDefault="00BC2D38" w:rsidP="00C2389D">
      <w:pPr>
        <w:pStyle w:val="ECHRHeading1"/>
        <w:rPr>
          <w:rFonts w:cs="Times New Roman"/>
        </w:rPr>
      </w:pPr>
      <w:bookmarkStart w:id="3" w:name="_Toc5712731"/>
      <w:r>
        <w:t>Zasady ogólne wywodzone z aktualnego orzecznictwa</w:t>
      </w:r>
      <w:bookmarkEnd w:id="3"/>
    </w:p>
    <w:p w:rsidR="00BC2D38" w:rsidRPr="00802736" w:rsidRDefault="00BC2D38" w:rsidP="00C2389D">
      <w:pPr>
        <w:pStyle w:val="ECHRHeading2"/>
        <w:rPr>
          <w:rFonts w:cs="Times New Roman"/>
          <w:i/>
          <w:iCs/>
        </w:rPr>
      </w:pPr>
      <w:bookmarkStart w:id="4" w:name="_Toc5712732"/>
      <w:r>
        <w:rPr>
          <w:i/>
          <w:iCs/>
        </w:rPr>
        <w:t>Niezależność sądownictwa</w:t>
      </w:r>
      <w:bookmarkEnd w:id="4"/>
    </w:p>
    <w:p w:rsidR="00BC2D38" w:rsidRPr="00FB6640" w:rsidRDefault="00BC2D38" w:rsidP="00FB6640">
      <w:pPr>
        <w:pStyle w:val="ECHRBullet1"/>
        <w:rPr>
          <w:rFonts w:cs="Times New Roman"/>
        </w:rPr>
      </w:pPr>
      <w:r>
        <w:t>W celu ustalenia, czy sąd można uznać za „niezależny” w rozumieniu art. 6 ust. 1, należy wziąć pod uwagę między innymi sposób powoływania osób w nim zasiadających oraz ich kadencję, istnienie zabezpieczeń przed naciskiem zewnętrznym oraz kwestię tego, czy organ sprawia wrażenie niezależnego. Trybunał podkreśla, że pojęcie rozdziału władz pomiędzy politycznymi organami rządowymi a władzą sądowniczą staje się w jego orzecznictwie coraz istotniejsze (</w:t>
      </w:r>
      <w:hyperlink r:id="rId13" w:history="1">
        <w:r>
          <w:rPr>
            <w:rStyle w:val="Hipercze"/>
            <w:i/>
            <w:iCs/>
          </w:rPr>
          <w:t>Oleksandr Volkov przeciwko Ukrainie</w:t>
        </w:r>
      </w:hyperlink>
      <w:r>
        <w:t xml:space="preserve">, § 103; </w:t>
      </w:r>
      <w:hyperlink r:id="rId14" w:history="1">
        <w:r>
          <w:rPr>
            <w:i/>
            <w:iCs/>
            <w:color w:val="0072BC"/>
            <w:u w:val="single"/>
          </w:rPr>
          <w:t>Denisov przeciwko Ukrainie</w:t>
        </w:r>
      </w:hyperlink>
      <w:r>
        <w:t xml:space="preserve"> [WI], § 60; </w:t>
      </w:r>
      <w:hyperlink r:id="rId15" w:history="1">
        <w:r>
          <w:rPr>
            <w:rStyle w:val="Hipercze"/>
            <w:i/>
            <w:iCs/>
          </w:rPr>
          <w:t>Thiam przeciwko Francji</w:t>
        </w:r>
      </w:hyperlink>
      <w:r>
        <w:t>, § 59).</w:t>
      </w:r>
    </w:p>
    <w:p w:rsidR="00BC2D38" w:rsidRPr="00802736" w:rsidRDefault="00BC2D38" w:rsidP="00C2389D">
      <w:pPr>
        <w:pStyle w:val="ECHRHeading2"/>
        <w:rPr>
          <w:rFonts w:cs="Times New Roman"/>
        </w:rPr>
      </w:pPr>
      <w:bookmarkStart w:id="5" w:name="_Toc5712733"/>
      <w:r>
        <w:rPr>
          <w:i/>
          <w:iCs/>
        </w:rPr>
        <w:t>Bezstronność sądownictwa</w:t>
      </w:r>
      <w:bookmarkEnd w:id="5"/>
    </w:p>
    <w:p w:rsidR="00BC2D38" w:rsidRPr="00802736" w:rsidRDefault="00BC2D38" w:rsidP="00C2389D">
      <w:pPr>
        <w:pStyle w:val="ECHRBullet1"/>
        <w:rPr>
          <w:rFonts w:cs="Times New Roman"/>
        </w:rPr>
      </w:pPr>
      <w:r>
        <w:t>Artykuł 6 ust. 1 wymaga, by sąd, o jakim mowa w tym przepisie był bezstronny. Istnienie bezstronności dla celów art. 6 ust. 1 należy ustalić na podstawie testu subiektywnego, w którym należy uwzględnić osobiste przekonania i zachowanie konkretnego sędziego, a mianowicie, czy sędzia wykazywał w określonej sprawie uprzedzenia lub stronniczość; jak również na podstawie testu obiektywnego, w którym ustala się, czy sam sąd, a więc między innymi, jego skład, zapewniał dostateczne gwarancje pozwalające wykluczyć uzasadnione wątpliwości co do jego bezstronności (</w:t>
      </w:r>
      <w:hyperlink r:id="rId16" w:history="1">
        <w:r>
          <w:rPr>
            <w:rStyle w:val="Hipercze"/>
            <w:i/>
            <w:iCs/>
          </w:rPr>
          <w:t>Micallef przeciwko Malcie</w:t>
        </w:r>
      </w:hyperlink>
      <w:r>
        <w:t xml:space="preserve"> [WI], § 93; </w:t>
      </w:r>
      <w:hyperlink r:id="rId17" w:history="1">
        <w:r>
          <w:rPr>
            <w:i/>
            <w:iCs/>
            <w:color w:val="0072BC"/>
            <w:u w:val="single"/>
          </w:rPr>
          <w:t>Denisov przeciwko Ukrainie</w:t>
        </w:r>
      </w:hyperlink>
      <w:r>
        <w:t xml:space="preserve"> [WI], § 61). Trybunał uznaje, że należy domniemywać osobistą bezstronność sędziego, chyba że dowody wskazują inaczej (</w:t>
      </w:r>
      <w:hyperlink r:id="rId18" w:history="1">
        <w:r>
          <w:rPr>
            <w:rStyle w:val="Hipercze"/>
            <w:i/>
            <w:iCs/>
          </w:rPr>
          <w:t>Micallef przeciwko Malcie</w:t>
        </w:r>
      </w:hyperlink>
      <w:r>
        <w:t xml:space="preserve"> [WI], § 94).</w:t>
      </w:r>
    </w:p>
    <w:p w:rsidR="00BC2D38" w:rsidRPr="00802736" w:rsidRDefault="00BC2D38" w:rsidP="00C2389D">
      <w:pPr>
        <w:pStyle w:val="ECHRBullet1"/>
        <w:rPr>
          <w:rFonts w:cs="Times New Roman"/>
        </w:rPr>
      </w:pPr>
      <w:r>
        <w:t>Trybunał wielokrotnie orzekał, że stawką w utrzymaniu bezstronności sądownictwa jest zaufanie, które w demokratycznym społeczeństwie musi mieć wobec sądów oskarżony w postępowaniu karnym, jak również – ogólniej – opinia publiczna (</w:t>
      </w:r>
      <w:hyperlink r:id="rId19" w:history="1">
        <w:r>
          <w:rPr>
            <w:rStyle w:val="Hipercze"/>
            <w:i/>
            <w:iCs/>
          </w:rPr>
          <w:t>Worm przeciwko Austrii</w:t>
        </w:r>
      </w:hyperlink>
      <w:r>
        <w:t>, § 40). Z tego względu każdy sędzia, co do którego istnieje zasadne przypuszczenie, iż zachodzi ryzyko braku bezstronności, musi odsunąć się od sprawy (</w:t>
      </w:r>
      <w:hyperlink r:id="rId20" w:history="1">
        <w:r>
          <w:rPr>
            <w:rStyle w:val="Hipercze"/>
            <w:i/>
            <w:iCs/>
          </w:rPr>
          <w:t>Micallef przeciwko Malcie</w:t>
        </w:r>
      </w:hyperlink>
      <w:r>
        <w:t xml:space="preserve"> [WI], § 98; </w:t>
      </w:r>
      <w:hyperlink r:id="rId21" w:history="1">
        <w:r>
          <w:rPr>
            <w:rStyle w:val="Hipercze"/>
            <w:i/>
            <w:iCs/>
          </w:rPr>
          <w:t>Harabin przeciwko Słowacji</w:t>
        </w:r>
      </w:hyperlink>
      <w:r>
        <w:t>, § 131).</w:t>
      </w:r>
    </w:p>
    <w:p w:rsidR="00BC2D38" w:rsidRPr="00802736" w:rsidRDefault="00BC2D38" w:rsidP="00CA4904">
      <w:pPr>
        <w:pStyle w:val="ECHRBullet1"/>
        <w:rPr>
          <w:rFonts w:cs="Times New Roman"/>
        </w:rPr>
      </w:pPr>
      <w:r>
        <w:t>Pojęcia niezawisłości i obiektywnej bezstronności są ściśle ze sobą powiązane i, zależnie od okoliczności, mogą wymagać łącznego zbadania (</w:t>
      </w:r>
      <w:hyperlink r:id="rId22" w:history="1">
        <w:r>
          <w:rPr>
            <w:rStyle w:val="Hipercze"/>
            <w:i/>
            <w:iCs/>
          </w:rPr>
          <w:t>Oleksandr Volkov przeciwko Ukrainie</w:t>
        </w:r>
      </w:hyperlink>
      <w:r>
        <w:t>, § 107).</w:t>
      </w:r>
    </w:p>
    <w:p w:rsidR="00BC2D38" w:rsidRPr="00802736" w:rsidRDefault="00BC2D38" w:rsidP="005B65DD">
      <w:pPr>
        <w:pStyle w:val="ECHRParaSpaced"/>
      </w:pPr>
    </w:p>
    <w:p w:rsidR="00BC2D38" w:rsidRPr="00802736" w:rsidRDefault="00BC2D38" w:rsidP="00C2389D">
      <w:pPr>
        <w:pStyle w:val="ECHRHeading1"/>
        <w:rPr>
          <w:rFonts w:cs="Times New Roman"/>
        </w:rPr>
      </w:pPr>
      <w:bookmarkStart w:id="6" w:name="_Toc5712734"/>
      <w:r>
        <w:lastRenderedPageBreak/>
        <w:t>Artykuł 6</w:t>
      </w:r>
      <w:bookmarkEnd w:id="6"/>
    </w:p>
    <w:p w:rsidR="00BC2D38" w:rsidRPr="00802736" w:rsidRDefault="00BC2D38" w:rsidP="00C2389D">
      <w:pPr>
        <w:pStyle w:val="ECHRHeading2"/>
        <w:rPr>
          <w:rFonts w:cs="Times New Roman"/>
        </w:rPr>
      </w:pPr>
      <w:bookmarkStart w:id="7" w:name="_Toc5712735"/>
      <w:r>
        <w:t>Spory pracownicze dotyczące sędziów</w:t>
      </w:r>
      <w:bookmarkEnd w:id="7"/>
    </w:p>
    <w:p w:rsidR="00BC2D38" w:rsidRPr="00802736" w:rsidRDefault="00BC2D38" w:rsidP="00B71560">
      <w:pPr>
        <w:pStyle w:val="ECHRHeading3"/>
        <w:rPr>
          <w:rFonts w:cs="Times New Roman"/>
        </w:rPr>
      </w:pPr>
      <w:bookmarkStart w:id="8" w:name="_Toc5712736"/>
      <w:r>
        <w:t>Możliwość stosowania art. 6 ust. 1</w:t>
      </w:r>
      <w:bookmarkEnd w:id="8"/>
      <w:r>
        <w:t xml:space="preserve"> </w:t>
      </w:r>
    </w:p>
    <w:p w:rsidR="00BC2D38" w:rsidRPr="00802736" w:rsidRDefault="00BC2D38" w:rsidP="00C2389D">
      <w:pPr>
        <w:pStyle w:val="ECHRBullet1"/>
        <w:rPr>
          <w:rFonts w:cs="Times New Roman"/>
        </w:rPr>
      </w:pPr>
      <w:r>
        <w:t xml:space="preserve">W sprawie </w:t>
      </w:r>
      <w:hyperlink r:id="rId23" w:history="1">
        <w:r>
          <w:rPr>
            <w:rStyle w:val="Hipercze"/>
            <w:i/>
            <w:iCs/>
          </w:rPr>
          <w:t>Vilho Eskelinen przeciwko Finlandii</w:t>
        </w:r>
      </w:hyperlink>
      <w:r>
        <w:t xml:space="preserve"> [WI] Trybunał orzekł, że aby skarżący będący urzędnikiem cywilnym był wyłączony z ochrony wynikającej z art. 6 spełnione muszą być dwa warunki: po pierwsze, państwo w prawie krajowym musi wprost przewidywać wyłączenie prawa dostępu do sądu w odniesieniu do danego stanowiska lub danej kategorii urzędniczej; po drugie, wyłączenie to musi być uzasadnione obiektywnymi względami interesu państwa. W związku z powyższym fakt, że skarżący należy do sektora lub wydziału uczestniczącego w sprawowaniu władzy nadanej przez prawo publiczne nie jest uznawany sam w sobie za decydujący (§ 62). </w:t>
      </w:r>
    </w:p>
    <w:p w:rsidR="00BC2D38" w:rsidRPr="00802736" w:rsidRDefault="00BC2D38" w:rsidP="00C2389D">
      <w:pPr>
        <w:pStyle w:val="ECHRBullet1"/>
        <w:rPr>
          <w:rFonts w:cs="Times New Roman"/>
        </w:rPr>
      </w:pPr>
      <w:r>
        <w:t>Władza sądownicza, choć nie stanowi części zwykłej służby cywilnej, stanowi jednakowoż część typowej służby publicznej. Sędzia ma określone obowiązki w dziedzinie sprawowania wymiaru sprawiedliwości, które jest sferą wykonywania przez państwa ich suwerennej władzy. W rezultacie sędzia uczestniczy w sposób bezpośredni w wykonywaniu władzy nadanej przez prawo publiczne i sprawuje obowiązki służące zabezpieczeniu ogólnych interesów państwa (</w:t>
      </w:r>
      <w:hyperlink r:id="rId24" w:history="1">
        <w:r>
          <w:rPr>
            <w:rStyle w:val="Hipercze"/>
            <w:i/>
            <w:iCs/>
          </w:rPr>
          <w:t>Pitkevich przeciwko Rosji</w:t>
        </w:r>
      </w:hyperlink>
      <w:r>
        <w:t xml:space="preserve"> (dec.)). Z tego względu Trybunał odwołuje się do kryteriów ze sprawy </w:t>
      </w:r>
      <w:hyperlink r:id="rId25" w:history="1">
        <w:r>
          <w:rPr>
            <w:rStyle w:val="Hipercze"/>
            <w:i/>
            <w:iCs/>
          </w:rPr>
          <w:t>Eskelinen</w:t>
        </w:r>
      </w:hyperlink>
      <w:r>
        <w:t xml:space="preserve"> w przedmiocie możliwości zastosowania art. 6 ust. 1 w odniesieniu do sporów dotyczących zatrudnienia z udziałem sędziów (</w:t>
      </w:r>
      <w:hyperlink r:id="rId26" w:history="1">
        <w:r>
          <w:rPr>
            <w:rStyle w:val="Hipercze"/>
            <w:i/>
            <w:iCs/>
          </w:rPr>
          <w:t>Baka przeciwko Węgrom</w:t>
        </w:r>
      </w:hyperlink>
      <w:r>
        <w:rPr>
          <w:i/>
          <w:iCs/>
        </w:rPr>
        <w:t xml:space="preserve"> </w:t>
      </w:r>
      <w:r>
        <w:t xml:space="preserve">[WI], </w:t>
      </w:r>
      <w:r>
        <w:rPr>
          <w:snapToGrid w:val="0"/>
        </w:rPr>
        <w:t xml:space="preserve">§ 104; </w:t>
      </w:r>
      <w:hyperlink r:id="rId27" w:history="1">
        <w:r>
          <w:rPr>
            <w:rStyle w:val="Hipercze"/>
            <w:i/>
            <w:iCs/>
          </w:rPr>
          <w:t>Denisov przeciwko Ukrainie</w:t>
        </w:r>
      </w:hyperlink>
      <w:r>
        <w:t xml:space="preserve"> [WI], §§ 52–55).</w:t>
      </w:r>
    </w:p>
    <w:p w:rsidR="00BC2D38" w:rsidRPr="00802736" w:rsidRDefault="00BC2D38" w:rsidP="00C2389D">
      <w:pPr>
        <w:pStyle w:val="ECHRBullet1"/>
        <w:rPr>
          <w:rFonts w:cs="Times New Roman"/>
        </w:rPr>
      </w:pPr>
      <w:r>
        <w:t xml:space="preserve">Trybunał stosował art. 6 </w:t>
      </w:r>
      <w:r>
        <w:rPr>
          <w:snapToGrid w:val="0"/>
        </w:rPr>
        <w:t>ust. 1 względem różnych sporów dotyczących zatrudnienia z udziałem sędziów, takich jak spory związane z powołaniem (</w:t>
      </w:r>
      <w:hyperlink r:id="rId28" w:history="1">
        <w:r>
          <w:rPr>
            <w:i/>
            <w:iCs/>
            <w:color w:val="0072BC"/>
            <w:u w:val="single"/>
          </w:rPr>
          <w:t>Juričić przeciwko Chorwacji</w:t>
        </w:r>
      </w:hyperlink>
      <w:r>
        <w:t>, pkt 51–57), awansem (</w:t>
      </w:r>
      <w:hyperlink r:id="rId29" w:history="1">
        <w:r>
          <w:rPr>
            <w:i/>
            <w:iCs/>
            <w:color w:val="0072BC"/>
            <w:u w:val="single"/>
          </w:rPr>
          <w:t>Dzhidzheva-Trendafilova</w:t>
        </w:r>
      </w:hyperlink>
      <w:r>
        <w:rPr>
          <w:i/>
          <w:iCs/>
          <w:color w:val="0072BC"/>
          <w:u w:val="single"/>
        </w:rPr>
        <w:t xml:space="preserve"> przeciwko Bułgarii</w:t>
      </w:r>
      <w:r>
        <w:rPr>
          <w:i/>
          <w:iCs/>
        </w:rPr>
        <w:t xml:space="preserve"> </w:t>
      </w:r>
      <w:r>
        <w:t xml:space="preserve">(dec.); </w:t>
      </w:r>
      <w:hyperlink r:id="rId30" w:history="1">
        <w:r>
          <w:rPr>
            <w:i/>
            <w:iCs/>
            <w:color w:val="0072BC"/>
            <w:u w:val="single"/>
          </w:rPr>
          <w:t>Tsanova-Gecheva</w:t>
        </w:r>
        <w:r>
          <w:rPr>
            <w:color w:val="0072BC"/>
            <w:u w:val="single"/>
          </w:rPr>
          <w:t xml:space="preserve"> </w:t>
        </w:r>
        <w:r>
          <w:rPr>
            <w:i/>
            <w:iCs/>
            <w:color w:val="0072BC"/>
            <w:u w:val="single"/>
          </w:rPr>
          <w:t>przeciwko Bułgarii</w:t>
        </w:r>
      </w:hyperlink>
      <w:r>
        <w:t>, pkt 85–87), przeniesieniem do innego miasta (</w:t>
      </w:r>
      <w:hyperlink r:id="rId31" w:history="1">
        <w:r>
          <w:rPr>
            <w:i/>
            <w:iCs/>
            <w:color w:val="0072BC"/>
            <w:u w:val="single"/>
          </w:rPr>
          <w:t>Tosti przeciwko Włochom</w:t>
        </w:r>
      </w:hyperlink>
      <w:r>
        <w:t xml:space="preserve"> (dec.)) lub płatnością wynagrodzenia i innych świadczeń (</w:t>
      </w:r>
      <w:hyperlink r:id="rId32" w:history="1">
        <w:r>
          <w:rPr>
            <w:i/>
            <w:iCs/>
            <w:color w:val="0072BC"/>
            <w:u w:val="single"/>
          </w:rPr>
          <w:t>Petrova i Chornobryvets przeciwko Ukrainie</w:t>
        </w:r>
      </w:hyperlink>
      <w:r>
        <w:t>,</w:t>
      </w:r>
      <w:r>
        <w:rPr>
          <w:snapToGrid w:val="0"/>
        </w:rPr>
        <w:t xml:space="preserve"> §</w:t>
      </w:r>
      <w:r>
        <w:t xml:space="preserve"> 15).</w:t>
      </w:r>
    </w:p>
    <w:p w:rsidR="00BC2D38" w:rsidRPr="00802736" w:rsidRDefault="00BC2D38" w:rsidP="00800836">
      <w:pPr>
        <w:pStyle w:val="ECHRBullet1"/>
        <w:rPr>
          <w:rFonts w:cs="Times New Roman"/>
        </w:rPr>
      </w:pPr>
      <w:r>
        <w:t>Zasadniczo w Konwencji nie zabezpieczono prawa do zajmowania stanowiska publicznego wiążącego się ze sprawowaniem wymiaru sprawiedliwości (</w:t>
      </w:r>
      <w:hyperlink r:id="rId33" w:history="1">
        <w:r>
          <w:rPr>
            <w:i/>
            <w:iCs/>
            <w:color w:val="0072BC"/>
            <w:u w:val="single"/>
          </w:rPr>
          <w:t>Dzhidzheva-Trendafilova</w:t>
        </w:r>
      </w:hyperlink>
      <w:r>
        <w:rPr>
          <w:i/>
          <w:iCs/>
          <w:color w:val="0072BC"/>
          <w:u w:val="single"/>
        </w:rPr>
        <w:t xml:space="preserve"> przeciwko Bułgarii</w:t>
      </w:r>
      <w:r>
        <w:rPr>
          <w:i/>
          <w:iCs/>
        </w:rPr>
        <w:t xml:space="preserve"> </w:t>
      </w:r>
      <w:r>
        <w:t xml:space="preserve">(dec.), § 38; </w:t>
      </w:r>
      <w:hyperlink r:id="rId34" w:history="1">
        <w:r>
          <w:rPr>
            <w:rStyle w:val="Hipercze"/>
            <w:i/>
            <w:iCs/>
          </w:rPr>
          <w:t>Harabin przeciwko Słowacji</w:t>
        </w:r>
      </w:hyperlink>
      <w:r>
        <w:rPr>
          <w:i/>
          <w:iCs/>
        </w:rPr>
        <w:t xml:space="preserve"> </w:t>
      </w:r>
      <w:r>
        <w:t>(dec.)). Podobnie prawa do orzekania w konkretnej sprawie nie można dochodzić, powołując się na Konwencję lub jej Protokoły (</w:t>
      </w:r>
      <w:hyperlink r:id="rId35" w:history="1">
        <w:r>
          <w:rPr>
            <w:rStyle w:val="Hipercze"/>
            <w:i/>
            <w:iCs/>
          </w:rPr>
          <w:t>Smiljan Pervan przeciwko Chorwacji</w:t>
        </w:r>
      </w:hyperlink>
      <w:r>
        <w:t xml:space="preserve"> (dec.), § 39). Niemniej jednak prawo do zajmowania stanowiska publicznego wiążącego się ze sprawowaniem wymiaru sprawiedliwości może istnieć na szczeblu krajowym, a jeżeli prawu materialnemu uznanemu w przepisach krajowych towarzyszy prawo procesowe umożliwiające egzekwowanie owego prawa materialnego w sądach, można mówić o prawie w rozumieniu art. 6 ust. 1 (</w:t>
      </w:r>
      <w:hyperlink r:id="rId36" w:history="1">
        <w:r>
          <w:rPr>
            <w:rStyle w:val="Hipercze"/>
            <w:i/>
            <w:iCs/>
          </w:rPr>
          <w:t>Denisov przeciwko Ukrainie</w:t>
        </w:r>
      </w:hyperlink>
      <w:r>
        <w:t xml:space="preserve"> [WI], </w:t>
      </w:r>
      <w:r>
        <w:rPr>
          <w:snapToGrid w:val="0"/>
        </w:rPr>
        <w:t xml:space="preserve">§ </w:t>
      </w:r>
      <w:r>
        <w:t>46).</w:t>
      </w:r>
    </w:p>
    <w:p w:rsidR="00BC2D38" w:rsidRPr="00802736" w:rsidRDefault="00BC2D38" w:rsidP="00B71560">
      <w:pPr>
        <w:pStyle w:val="ECHRHeading3"/>
        <w:rPr>
          <w:rFonts w:cs="Times New Roman"/>
        </w:rPr>
      </w:pPr>
      <w:bookmarkStart w:id="9" w:name="_Toc5712737"/>
      <w:r>
        <w:t>Gwarancje wynikające z art. 6 ust. 1</w:t>
      </w:r>
      <w:bookmarkEnd w:id="9"/>
    </w:p>
    <w:p w:rsidR="00BC2D38" w:rsidRPr="00802736" w:rsidRDefault="00BC2D38" w:rsidP="00873602">
      <w:pPr>
        <w:pStyle w:val="ECHRBullet1"/>
        <w:rPr>
          <w:rFonts w:cs="Times New Roman"/>
        </w:rPr>
      </w:pPr>
      <w:r>
        <w:t>Chociaż Trybunał oceni, czy istnieją dostateczne gwarancje procesowe odnoszące się do powoływania lub awansowania sędziów, nie jest zadaniem Trybunału wyrażanie opinii na temat stosowności wyboru dokonanego przez krajowe organy ani kryteriów, które należałoby brać pod uwagę (</w:t>
      </w:r>
      <w:hyperlink r:id="rId37" w:history="1">
        <w:r>
          <w:rPr>
            <w:rStyle w:val="Hipercze"/>
            <w:i/>
            <w:iCs/>
          </w:rPr>
          <w:t>Tsanova-Gecheva</w:t>
        </w:r>
        <w:r>
          <w:rPr>
            <w:rStyle w:val="Hipercze"/>
          </w:rPr>
          <w:t xml:space="preserve"> </w:t>
        </w:r>
        <w:r>
          <w:rPr>
            <w:rStyle w:val="Hipercze"/>
            <w:i/>
            <w:iCs/>
          </w:rPr>
          <w:t>przeciwko Bułgarii</w:t>
        </w:r>
      </w:hyperlink>
      <w:r>
        <w:t>,</w:t>
      </w:r>
      <w:r>
        <w:rPr>
          <w:snapToGrid w:val="0"/>
        </w:rPr>
        <w:t xml:space="preserve"> § 104)</w:t>
      </w:r>
      <w:r>
        <w:t>.</w:t>
      </w:r>
    </w:p>
    <w:p w:rsidR="00BC2D38" w:rsidRPr="00802736" w:rsidRDefault="00BC2D38" w:rsidP="00B71560">
      <w:pPr>
        <w:pStyle w:val="ECHRHeading3"/>
        <w:rPr>
          <w:rFonts w:cs="Times New Roman"/>
        </w:rPr>
      </w:pPr>
      <w:bookmarkStart w:id="10" w:name="_Toc5712738"/>
      <w:r>
        <w:t>Postępowania dyscyplinarne przeciwko sędziom</w:t>
      </w:r>
      <w:bookmarkEnd w:id="10"/>
    </w:p>
    <w:p w:rsidR="00BC2D38" w:rsidRPr="00802736" w:rsidRDefault="00BC2D38" w:rsidP="00D24DF9">
      <w:pPr>
        <w:pStyle w:val="ECHRBullet1"/>
        <w:rPr>
          <w:rFonts w:cs="Times New Roman"/>
        </w:rPr>
      </w:pPr>
      <w:r>
        <w:t xml:space="preserve">W świetle kryteriów ze sprawy </w:t>
      </w:r>
      <w:r>
        <w:rPr>
          <w:i/>
          <w:iCs/>
        </w:rPr>
        <w:t xml:space="preserve">Eskelin </w:t>
      </w:r>
      <w:r>
        <w:t>art. 6 ust. 1 ma zastosowanie w szczególności do postępowania w sprawie odwołania lub postępowania dyscyplinarnego.</w:t>
      </w:r>
    </w:p>
    <w:p w:rsidR="00BC2D38" w:rsidRPr="00802736" w:rsidRDefault="00BC2D38" w:rsidP="00D24DF9">
      <w:pPr>
        <w:pStyle w:val="ECHRBullet1"/>
        <w:rPr>
          <w:rFonts w:cs="Times New Roman"/>
        </w:rPr>
      </w:pPr>
      <w:r>
        <w:lastRenderedPageBreak/>
        <w:t>Trybunał stosował art. 6 ust. 1 w sprawach związanych z sankcjami dyscyplinarnymi (</w:t>
      </w:r>
      <w:hyperlink r:id="rId38" w:history="1">
        <w:r>
          <w:rPr>
            <w:i/>
            <w:iCs/>
            <w:color w:val="0072BC"/>
            <w:u w:val="single"/>
          </w:rPr>
          <w:t>Di Giovanni</w:t>
        </w:r>
        <w:r>
          <w:rPr>
            <w:snapToGrid w:val="0"/>
            <w:color w:val="0072BC"/>
            <w:u w:val="single"/>
          </w:rPr>
          <w:t xml:space="preserve"> </w:t>
        </w:r>
        <w:r>
          <w:rPr>
            <w:i/>
            <w:iCs/>
            <w:color w:val="0072BC"/>
            <w:u w:val="single"/>
          </w:rPr>
          <w:t>przeciwko Włochom</w:t>
        </w:r>
      </w:hyperlink>
      <w:r>
        <w:rPr>
          <w:snapToGrid w:val="0"/>
        </w:rPr>
        <w:t xml:space="preserve">, §§ 36–37; </w:t>
      </w:r>
      <w:hyperlink r:id="rId39" w:history="1">
        <w:r>
          <w:rPr>
            <w:rStyle w:val="Hipercze"/>
            <w:i/>
            <w:iCs/>
          </w:rPr>
          <w:t>Ramos Nunes de Carvalho e Sá przeciwko Portugalii</w:t>
        </w:r>
      </w:hyperlink>
      <w:r>
        <w:t xml:space="preserve"> </w:t>
      </w:r>
      <w:r>
        <w:rPr>
          <w:snapToGrid w:val="0"/>
        </w:rPr>
        <w:t xml:space="preserve">[WI], </w:t>
      </w:r>
      <w:r>
        <w:t>§§ 112 i 120</w:t>
      </w:r>
      <w:r>
        <w:rPr>
          <w:snapToGrid w:val="0"/>
        </w:rPr>
        <w:t xml:space="preserve">), </w:t>
      </w:r>
      <w:r>
        <w:t>odwołaniami (</w:t>
      </w:r>
      <w:hyperlink r:id="rId40" w:history="1">
        <w:r>
          <w:rPr>
            <w:rStyle w:val="Hipercze"/>
            <w:i/>
            <w:iCs/>
          </w:rPr>
          <w:t>Oleksandr Volkov przeciwko Ukrainie</w:t>
        </w:r>
      </w:hyperlink>
      <w:r>
        <w:t xml:space="preserve">, § 91; </w:t>
      </w:r>
      <w:hyperlink r:id="rId41" w:history="1">
        <w:r>
          <w:rPr>
            <w:i/>
            <w:iCs/>
            <w:color w:val="0072BC"/>
            <w:u w:val="single"/>
          </w:rPr>
          <w:t>Sturua przeciwko Gruzji</w:t>
        </w:r>
      </w:hyperlink>
      <w:r>
        <w:t>, § 27;</w:t>
      </w:r>
      <w:r>
        <w:rPr>
          <w:color w:val="0072BC"/>
        </w:rPr>
        <w:t xml:space="preserve"> </w:t>
      </w:r>
      <w:hyperlink r:id="rId42" w:history="1">
        <w:r>
          <w:rPr>
            <w:i/>
            <w:iCs/>
            <w:color w:val="0072BC"/>
            <w:u w:val="single"/>
          </w:rPr>
          <w:t>Kamenos przeciwko Cyprowi</w:t>
        </w:r>
      </w:hyperlink>
      <w:r>
        <w:t>,</w:t>
      </w:r>
      <w:r>
        <w:rPr>
          <w:color w:val="0072BC"/>
        </w:rPr>
        <w:t xml:space="preserve"> </w:t>
      </w:r>
      <w:r>
        <w:t xml:space="preserve">§§ 82–88, </w:t>
      </w:r>
      <w:hyperlink r:id="rId43" w:history="1">
        <w:r>
          <w:rPr>
            <w:i/>
            <w:iCs/>
            <w:color w:val="0072BC"/>
            <w:u w:val="single"/>
          </w:rPr>
          <w:t>Olujić przeciwko Chorwacji</w:t>
        </w:r>
      </w:hyperlink>
      <w:r>
        <w:t>, §§ 31–44), skazaniem za poważne przewinienie dyscyplinarne i ograniczeniem wynagrodzenia (</w:t>
      </w:r>
      <w:hyperlink r:id="rId44" w:history="1">
        <w:r>
          <w:rPr>
            <w:i/>
            <w:iCs/>
            <w:color w:val="0072BC"/>
            <w:u w:val="single"/>
          </w:rPr>
          <w:t>Harabin przeciwko Słowacji</w:t>
        </w:r>
      </w:hyperlink>
      <w:r>
        <w:t>, §§ 118–123), usunięciem ze stanowiska bez usuwania ze stanu sędziowskiego (</w:t>
      </w:r>
      <w:hyperlink r:id="rId45" w:history="1">
        <w:r>
          <w:rPr>
            <w:i/>
            <w:iCs/>
            <w:color w:val="0072BC"/>
            <w:u w:val="single"/>
          </w:rPr>
          <w:t>Baka przeciwko Węgrom</w:t>
        </w:r>
      </w:hyperlink>
      <w:r>
        <w:rPr>
          <w:i/>
          <w:iCs/>
        </w:rPr>
        <w:t xml:space="preserve"> </w:t>
      </w:r>
      <w:r>
        <w:t xml:space="preserve">[WI], §§ 107–119; </w:t>
      </w:r>
      <w:hyperlink r:id="rId46" w:history="1">
        <w:r>
          <w:rPr>
            <w:i/>
            <w:iCs/>
            <w:color w:val="0072BC"/>
            <w:u w:val="single"/>
          </w:rPr>
          <w:t>Denisov przeciwko Ukrainie</w:t>
        </w:r>
      </w:hyperlink>
      <w:r>
        <w:t xml:space="preserve"> [WI], §§ 54–55), jak również tymczasowymi środkami dyscyplinarnymi, takimi jak zawieszenie (</w:t>
      </w:r>
      <w:hyperlink r:id="rId47" w:history="1">
        <w:r>
          <w:rPr>
            <w:i/>
            <w:iCs/>
            <w:color w:val="0072BC"/>
            <w:u w:val="single"/>
          </w:rPr>
          <w:t>Paluda przeciwko Słowacji</w:t>
        </w:r>
      </w:hyperlink>
      <w:r>
        <w:t>, §§ 33–34).</w:t>
      </w:r>
    </w:p>
    <w:p w:rsidR="00BC2D38" w:rsidRPr="00802736" w:rsidRDefault="00BC2D38" w:rsidP="00D24DF9">
      <w:pPr>
        <w:pStyle w:val="ECHRBullet1"/>
        <w:rPr>
          <w:rFonts w:cs="Times New Roman"/>
        </w:rPr>
      </w:pPr>
      <w:r>
        <w:t xml:space="preserve">Niezależnie od powyższego Trybunał orzekł, że postępowanie dyscyplinarne nie może być określane jako „karne”. </w:t>
      </w:r>
      <w:r>
        <w:rPr>
          <w:rStyle w:val="sb8d990e2"/>
        </w:rPr>
        <w:t>Utrwalone orzecznictwo Trybunału wyodrębnia trzy kryteria, znane powszechnie jako kryteria ze sprawy Engel, które są brane pod uwagę przy ustalaniu, czy doszło do wytoczenia sprawy karnej</w:t>
      </w:r>
      <w:r>
        <w:rPr>
          <w:i/>
          <w:iCs/>
        </w:rPr>
        <w:t xml:space="preserve"> </w:t>
      </w:r>
      <w:r>
        <w:t>(</w:t>
      </w:r>
      <w:hyperlink r:id="rId48" w:history="1">
        <w:r>
          <w:rPr>
            <w:rStyle w:val="Hipercze"/>
            <w:i/>
            <w:iCs/>
          </w:rPr>
          <w:t>Ramos Nunes de Carvalho e Sá przeciwko Portugalii</w:t>
        </w:r>
      </w:hyperlink>
      <w:r>
        <w:t xml:space="preserve"> [WI], §§ 122–128).</w:t>
      </w:r>
    </w:p>
    <w:p w:rsidR="00BC2D38" w:rsidRPr="00802736" w:rsidRDefault="00BC2D38" w:rsidP="00BA6348">
      <w:pPr>
        <w:pStyle w:val="ECHRBullet1"/>
        <w:rPr>
          <w:rFonts w:cs="Times New Roman"/>
        </w:rPr>
      </w:pPr>
      <w:r>
        <w:t>Oceniając, czy zaskarżony środek naruszał art. 6 ust. 1, Trybunał zauważa rosnącą wagę, jaką w dokumentach międzynarodowych i dokumentach Rady Europy, a także orzecznictwie międzynarodowych trybunałów i praktyce innych organów międzynarodowych, przywiązuje się do proceduralnej sprawiedliwości w sprawach wiążących się z usunięciem lub odwołaniem sędziów, w tym interwencjami organu niezależnego od władzy wykonawczej i ustawodawczej względem każdej decyzji wpływającej na zakończenie sprawowania urzędu przez sędziego (</w:t>
      </w:r>
      <w:hyperlink r:id="rId49" w:history="1">
        <w:r>
          <w:rPr>
            <w:i/>
            <w:iCs/>
            <w:color w:val="0072BC"/>
            <w:u w:val="single"/>
          </w:rPr>
          <w:t>Baka przeciwko Węgrom</w:t>
        </w:r>
      </w:hyperlink>
      <w:r>
        <w:rPr>
          <w:i/>
          <w:iCs/>
        </w:rPr>
        <w:t xml:space="preserve"> </w:t>
      </w:r>
      <w:r>
        <w:t xml:space="preserve">[WI], § 121; </w:t>
      </w:r>
      <w:hyperlink r:id="rId50" w:history="1">
        <w:r>
          <w:rPr>
            <w:i/>
            <w:iCs/>
            <w:color w:val="0072BC"/>
            <w:u w:val="single"/>
          </w:rPr>
          <w:t>Paluda przeciwko Słowacji</w:t>
        </w:r>
      </w:hyperlink>
      <w:r>
        <w:t xml:space="preserve">, § 45). </w:t>
      </w:r>
    </w:p>
    <w:p w:rsidR="00BC2D38" w:rsidRPr="00802736" w:rsidRDefault="00BC2D38" w:rsidP="00D24DF9">
      <w:pPr>
        <w:pStyle w:val="ECHRBullet1"/>
        <w:rPr>
          <w:rFonts w:cs="Times New Roman"/>
        </w:rPr>
      </w:pPr>
      <w:r>
        <w:t xml:space="preserve">Trybunał określił szereg kryteriów ze sprawy </w:t>
      </w:r>
      <w:hyperlink r:id="rId51" w:history="1">
        <w:r>
          <w:rPr>
            <w:rStyle w:val="Hipercze"/>
            <w:i/>
            <w:iCs/>
          </w:rPr>
          <w:t>Oleksandr Volkov przeciwko Ukrainie</w:t>
        </w:r>
      </w:hyperlink>
      <w:r>
        <w:t xml:space="preserve">, potwierdzonych potem w sprawie </w:t>
      </w:r>
      <w:hyperlink r:id="rId52" w:history="1">
        <w:r>
          <w:rPr>
            <w:i/>
            <w:iCs/>
            <w:color w:val="0072BC"/>
            <w:u w:val="single"/>
          </w:rPr>
          <w:t>Denisov przeciwko Ukrainie</w:t>
        </w:r>
      </w:hyperlink>
      <w:r>
        <w:t xml:space="preserve"> [WI], służących ustaleniu, czy organ dyscyplinarny sędziów przestrzega wymogów niezależności i bezstronności (zob. również </w:t>
      </w:r>
      <w:hyperlink r:id="rId53" w:history="1">
        <w:r>
          <w:rPr>
            <w:rStyle w:val="Hipercze"/>
            <w:i/>
            <w:iCs/>
          </w:rPr>
          <w:t>Ramos Nunes de Carvalho e Sá przeciwko Portugalii</w:t>
        </w:r>
      </w:hyperlink>
      <w:r>
        <w:t xml:space="preserve"> [WI]).</w:t>
      </w:r>
    </w:p>
    <w:p w:rsidR="00BC2D38" w:rsidRPr="00802736" w:rsidRDefault="00BC2D38" w:rsidP="00D24DF9">
      <w:pPr>
        <w:pStyle w:val="ECHRBullet2"/>
        <w:rPr>
          <w:rFonts w:cs="Times New Roman"/>
        </w:rPr>
      </w:pPr>
      <w:r>
        <w:t>Po pierwsze, w odpowiednim organie dyscyplinarnym musi zasiadać istotna reprezentacja sędziów. Jeżeli co najmniej połowa osób zasiadających w sądzie, w tym przewodniczący z głosem rozstrzygającym, to sędziowie, stanowi to silny wskaźnik bezstronności (</w:t>
      </w:r>
      <w:hyperlink r:id="rId54" w:history="1">
        <w:r>
          <w:rPr>
            <w:rStyle w:val="Hipercze"/>
            <w:i/>
            <w:iCs/>
          </w:rPr>
          <w:t>Oleksandr Volkov przeciwko Ukrainie</w:t>
        </w:r>
      </w:hyperlink>
      <w:r>
        <w:t xml:space="preserve">, § 109; </w:t>
      </w:r>
      <w:hyperlink r:id="rId55" w:history="1">
        <w:r>
          <w:rPr>
            <w:i/>
            <w:iCs/>
            <w:color w:val="0072BC"/>
            <w:u w:val="single"/>
          </w:rPr>
          <w:t>Denisov przeciwko Ukrainie</w:t>
        </w:r>
      </w:hyperlink>
      <w:r>
        <w:t xml:space="preserve"> [WI], § 68).</w:t>
      </w:r>
    </w:p>
    <w:p w:rsidR="00BC2D38" w:rsidRPr="00802736" w:rsidRDefault="00BC2D38" w:rsidP="00D24DF9">
      <w:pPr>
        <w:pStyle w:val="ECHRBullet2"/>
        <w:rPr>
          <w:rFonts w:cs="Times New Roman"/>
        </w:rPr>
      </w:pPr>
      <w:r>
        <w:t>Po drugie, w świetle znaczenia ograniczania wpływu organów politycznych na skład organu dyscyplinarnego, ważne jest dokonanie oceny sposobu powoływania sędziów do tego organu, mając na uwadze władze, które ich delegowały, a także rolę społeczności sędziowskiej w tym procesie (</w:t>
      </w:r>
      <w:hyperlink r:id="rId56" w:history="1">
        <w:r>
          <w:rPr>
            <w:i/>
            <w:iCs/>
            <w:color w:val="0072BC"/>
            <w:u w:val="single"/>
          </w:rPr>
          <w:t>Denisov przeciwko Ukrainie</w:t>
        </w:r>
      </w:hyperlink>
      <w:r>
        <w:t xml:space="preserve"> [WI], § 68). Sposób powoływania sędziów jest istotny również z punktu widzenia samorządu sędziowskiego (</w:t>
      </w:r>
      <w:hyperlink r:id="rId57" w:history="1">
        <w:r>
          <w:rPr>
            <w:rStyle w:val="Hipercze"/>
            <w:i/>
            <w:iCs/>
          </w:rPr>
          <w:t>Oleksandr Volkov przeciwko Ukrainie</w:t>
        </w:r>
      </w:hyperlink>
      <w:r>
        <w:t>, § 112).</w:t>
      </w:r>
    </w:p>
    <w:p w:rsidR="00BC2D38" w:rsidRPr="00802736" w:rsidRDefault="00BC2D38" w:rsidP="00D24DF9">
      <w:pPr>
        <w:pStyle w:val="ECHRBullet2"/>
        <w:rPr>
          <w:rFonts w:cs="Times New Roman"/>
        </w:rPr>
      </w:pPr>
      <w:r>
        <w:t>Po trzecie, istotne jest ustalenie, czy członkowie organu dyscyplinarnego pracują w pełnym wymiarze godzin czy też wciąż pracują i otrzymują wynagrodzenie „z zewnątrz”; mając na uwadze, że drugi z przypadków w nieunikniony sposób skutkuje ich uzależnieniem – materialnym, hierarchicznym i administracyjnym – od pracodawców podstawowych, stanowi to zagrożenie dla ich niezawisłości i bezstronności (</w:t>
      </w:r>
      <w:hyperlink r:id="rId58" w:history="1">
        <w:r>
          <w:rPr>
            <w:i/>
            <w:iCs/>
            <w:color w:val="0072BC"/>
            <w:u w:val="single"/>
          </w:rPr>
          <w:t>Denisov przeciwko Ukrainie</w:t>
        </w:r>
      </w:hyperlink>
      <w:r>
        <w:t xml:space="preserve"> [WI], § 68; </w:t>
      </w:r>
      <w:hyperlink r:id="rId59" w:history="1">
        <w:r>
          <w:rPr>
            <w:rStyle w:val="Hipercze"/>
            <w:i/>
            <w:iCs/>
          </w:rPr>
          <w:t>Oleksandr Volkov przeciwko Ukrainie</w:t>
        </w:r>
      </w:hyperlink>
      <w:r>
        <w:t>, § 113).</w:t>
      </w:r>
    </w:p>
    <w:p w:rsidR="00BC2D38" w:rsidRPr="00802736" w:rsidRDefault="00BC2D38" w:rsidP="00D24DF9">
      <w:pPr>
        <w:pStyle w:val="ECHRBullet2"/>
        <w:rPr>
          <w:rFonts w:cs="Times New Roman"/>
        </w:rPr>
      </w:pPr>
      <w:r>
        <w:t>Po czwarte, należy zwrócić uwagę na zasiadanie przedstawicieli organów prokuratorskich w organach dyscyplinarnych zajmujących się sędziami (</w:t>
      </w:r>
      <w:hyperlink r:id="rId60" w:history="1">
        <w:r>
          <w:rPr>
            <w:i/>
            <w:iCs/>
            <w:color w:val="0072BC"/>
            <w:u w:val="single"/>
          </w:rPr>
          <w:t>Denisov przeciwko Ukrainie</w:t>
        </w:r>
      </w:hyperlink>
      <w:r>
        <w:t xml:space="preserve"> [WI], § 68). Przykładowo przynależność prokuratora generalnego do organu, który zajmuje się powoływaniem, dyscyplinowaniem i odwoływaniem sędziów stanowi ryzyko, że w takich sprawach sędziowie nie będą postępować w </w:t>
      </w:r>
      <w:r>
        <w:lastRenderedPageBreak/>
        <w:t>sposób bezstronny lub że prokurator generalny nie będzie postępować w sposób bezstronny względem sędziów, których decyzji nie aprobuje (</w:t>
      </w:r>
      <w:hyperlink r:id="rId61" w:history="1">
        <w:r>
          <w:rPr>
            <w:rStyle w:val="Hipercze"/>
            <w:i/>
            <w:iCs/>
          </w:rPr>
          <w:t>Oleksandr Volkov przeciwko Ukrainie</w:t>
        </w:r>
      </w:hyperlink>
      <w:r>
        <w:t>, § 114).</w:t>
      </w:r>
    </w:p>
    <w:p w:rsidR="00BC2D38" w:rsidRDefault="00BC2D38" w:rsidP="00D24DF9">
      <w:pPr>
        <w:pStyle w:val="ECHRBullet2"/>
      </w:pPr>
      <w:r>
        <w:t>Po piąte, jeżeli członkowie organu dyscyplinarnego odgrywali jakąś rolę we wstępnym postępowaniu wyjaśniającym w sprawie dyscyplinarnej, a następnie uczestniczyli w rozpoznawaniu tej samej sprawy przez organ dyscyplinarny, tego rodzaju podwojenie funkcji mogłoby budzić obiektywne wątpliwości co do ich bezstronności (</w:t>
      </w:r>
      <w:hyperlink r:id="rId62" w:history="1">
        <w:r>
          <w:rPr>
            <w:i/>
            <w:iCs/>
            <w:color w:val="0072BC"/>
            <w:u w:val="single"/>
          </w:rPr>
          <w:t>Denisov przeciwko Ukrainie</w:t>
        </w:r>
      </w:hyperlink>
      <w:r>
        <w:t xml:space="preserve"> [WI], §§ 68, 71; </w:t>
      </w:r>
      <w:hyperlink r:id="rId63" w:history="1">
        <w:r>
          <w:rPr>
            <w:rStyle w:val="Hipercze"/>
            <w:i/>
            <w:iCs/>
          </w:rPr>
          <w:t>Oleksandr Volkov przeciwko Ukrainie</w:t>
        </w:r>
      </w:hyperlink>
      <w:r>
        <w:t>, § 115).</w:t>
      </w:r>
    </w:p>
    <w:p w:rsidR="00BC2D38" w:rsidRPr="00802736" w:rsidRDefault="00BC2D38" w:rsidP="005744DD">
      <w:pPr>
        <w:pStyle w:val="ECHRBullet1"/>
        <w:rPr>
          <w:rFonts w:cs="Times New Roman"/>
        </w:rPr>
      </w:pPr>
      <w:r>
        <w:t xml:space="preserve">Sam fakt, iż sędziowie, którzy dokonują kontroli decyzji organu dyscyplinarnego, są objęci dyscyplinarnym nadzorem tego samego organu i mogą być objęci postępowaniem dyscyplinarnym nie jest </w:t>
      </w:r>
      <w:r>
        <w:rPr>
          <w:i/>
          <w:iCs/>
        </w:rPr>
        <w:t>per se</w:t>
      </w:r>
      <w:r>
        <w:t xml:space="preserve"> powodem, aby powątpiewać w niezawisłość i bezstronność tych sędziów (</w:t>
      </w:r>
      <w:hyperlink r:id="rId64" w:history="1">
        <w:r>
          <w:rPr>
            <w:rStyle w:val="Hipercze"/>
            <w:i/>
            <w:iCs/>
          </w:rPr>
          <w:t>Denisov przeciwko Ukrainie</w:t>
        </w:r>
      </w:hyperlink>
      <w:r>
        <w:t xml:space="preserve"> [WI], § 79 ; </w:t>
      </w:r>
      <w:hyperlink r:id="rId65" w:history="1">
        <w:r>
          <w:rPr>
            <w:rStyle w:val="Hipercze"/>
            <w:i/>
            <w:iCs/>
          </w:rPr>
          <w:t>Ramos Nunes de Carvalho e Sá przeciwko Portugalii</w:t>
        </w:r>
      </w:hyperlink>
      <w:r>
        <w:t xml:space="preserve"> [WI], § 163). Tym niemniej naruszenie wymogów bezstronności i niezawisłości można stwierdzić w konkretnych okolicznościach (porównaj </w:t>
      </w:r>
      <w:hyperlink r:id="rId66" w:history="1">
        <w:r>
          <w:rPr>
            <w:rStyle w:val="Hipercze"/>
            <w:i/>
            <w:iCs/>
          </w:rPr>
          <w:t>Oleksandr Volkov przeciwko Ukrainie</w:t>
        </w:r>
      </w:hyperlink>
      <w:r>
        <w:t xml:space="preserve">, § 130 i </w:t>
      </w:r>
      <w:hyperlink r:id="rId67" w:history="1">
        <w:r>
          <w:rPr>
            <w:rStyle w:val="Hipercze"/>
            <w:i/>
            <w:iCs/>
          </w:rPr>
          <w:t>Denisov przeciwko Ukrainie</w:t>
        </w:r>
      </w:hyperlink>
      <w:r>
        <w:t xml:space="preserve"> [WI], § 79 z </w:t>
      </w:r>
      <w:hyperlink r:id="rId68" w:history="1">
        <w:r>
          <w:rPr>
            <w:rStyle w:val="Hipercze"/>
            <w:i/>
            <w:iCs/>
          </w:rPr>
          <w:t>Ramos Nunes de Carvalho e Sá przeciwko Portugalii</w:t>
        </w:r>
      </w:hyperlink>
      <w:r>
        <w:t xml:space="preserve"> [WI], §§ 157–164).</w:t>
      </w:r>
    </w:p>
    <w:p w:rsidR="00BC2D38" w:rsidRPr="00802736" w:rsidRDefault="00BC2D38" w:rsidP="00C2389D">
      <w:pPr>
        <w:pStyle w:val="ECHRBullet1"/>
        <w:rPr>
          <w:rFonts w:cs="Times New Roman"/>
        </w:rPr>
      </w:pPr>
      <w:r>
        <w:t xml:space="preserve">Podobnie jak w sprawie </w:t>
      </w:r>
      <w:hyperlink r:id="rId69" w:history="1">
        <w:r>
          <w:rPr>
            <w:rStyle w:val="Hipercze"/>
            <w:i/>
            <w:iCs/>
          </w:rPr>
          <w:t>Oleksandr Volkov przeciwko Ukrainie</w:t>
        </w:r>
      </w:hyperlink>
      <w:r>
        <w:rPr>
          <w:rStyle w:val="Hipercze"/>
          <w:color w:val="auto"/>
          <w:u w:val="none"/>
        </w:rPr>
        <w:t xml:space="preserve"> rozpoznawanie sprawy w późniejszym czasie przez parlament, a więc organ ustawodawczy, może przyczynić się do upolitycznienia procedury i pogłębienia niezgodności postępowania z zasadą trójpodziału władzy, a nie wyeliminować strukturalne nieprawidłowości w zakresie braku „niezawisłości i bezstronności” (</w:t>
      </w:r>
      <w:r>
        <w:t xml:space="preserve">§ </w:t>
      </w:r>
      <w:r>
        <w:rPr>
          <w:rStyle w:val="Hipercze"/>
          <w:color w:val="auto"/>
          <w:u w:val="none"/>
        </w:rPr>
        <w:t>118).</w:t>
      </w:r>
    </w:p>
    <w:p w:rsidR="00BC2D38" w:rsidRPr="00802736" w:rsidRDefault="00BC2D38" w:rsidP="00C2389D">
      <w:pPr>
        <w:pStyle w:val="ECHRBullet1"/>
        <w:rPr>
          <w:rFonts w:cs="Times New Roman"/>
        </w:rPr>
      </w:pPr>
      <w:r>
        <w:t>Chociaż Trybunał nie uznał za stosowne wskazania długości okresu przedawnienia [dla nakładania kar dyscyplinarnych za „złamanie przysięgi”], stwierdził jednak, że bezterminowe podejście do spraw dyscyplinarnych dotyczących sądownictwa stanowi poważne zagrożenie dla zasady pewności prawa (</w:t>
      </w:r>
      <w:hyperlink r:id="rId70" w:history="1">
        <w:r>
          <w:rPr>
            <w:rStyle w:val="Hipercze"/>
            <w:i/>
            <w:iCs/>
          </w:rPr>
          <w:t>Oleksandr Volkov przeciwko Ukrainie</w:t>
        </w:r>
      </w:hyperlink>
      <w:r>
        <w:t>, § 139).</w:t>
      </w:r>
    </w:p>
    <w:p w:rsidR="00BC2D38" w:rsidRPr="00802736" w:rsidRDefault="00BC2D38" w:rsidP="00C2389D">
      <w:pPr>
        <w:pStyle w:val="ECHRBullet1"/>
        <w:rPr>
          <w:rFonts w:cs="Times New Roman"/>
        </w:rPr>
      </w:pPr>
      <w:r>
        <w:t>Stawką w postępowaniu dyscyplinarnym prowadzonym przeciwko sędziemu pełniącemu funkcję prezesa sądu najwyższego jest zaufanie publiczne do funkcjonowania sądownictwa na najwyższym krajowym szczeblu. Szczególnie istotne jest zatem, by w postępowaniu takim postępować zgodnie z gwarancjami z art. 6 (</w:t>
      </w:r>
      <w:hyperlink r:id="rId71" w:history="1">
        <w:r>
          <w:rPr>
            <w:i/>
            <w:iCs/>
            <w:color w:val="0072BC"/>
            <w:u w:val="single"/>
          </w:rPr>
          <w:t>Harabin przeciwko Słowacji</w:t>
        </w:r>
      </w:hyperlink>
      <w:r>
        <w:t>, § 133).</w:t>
      </w:r>
    </w:p>
    <w:p w:rsidR="00BC2D38" w:rsidRPr="00802736" w:rsidRDefault="00BC2D38" w:rsidP="005B65DD">
      <w:pPr>
        <w:pStyle w:val="ECHRParaSpaced"/>
      </w:pPr>
    </w:p>
    <w:p w:rsidR="00BC2D38" w:rsidRPr="00CA4904" w:rsidRDefault="00BC2D38" w:rsidP="00C2389D">
      <w:pPr>
        <w:pStyle w:val="ECHRHeading1"/>
        <w:rPr>
          <w:rFonts w:cs="Times New Roman"/>
        </w:rPr>
      </w:pPr>
      <w:bookmarkStart w:id="11" w:name="_Toc5712739"/>
      <w:r>
        <w:t>Artykuł 8</w:t>
      </w:r>
      <w:bookmarkEnd w:id="11"/>
    </w:p>
    <w:p w:rsidR="00BC2D38" w:rsidRPr="00D40FB2" w:rsidRDefault="00BC2D38" w:rsidP="00D40FB2">
      <w:pPr>
        <w:pStyle w:val="ECHRHeading2"/>
        <w:rPr>
          <w:rFonts w:cs="Times New Roman"/>
        </w:rPr>
      </w:pPr>
      <w:bookmarkStart w:id="12" w:name="_Toc5712740"/>
      <w:r>
        <w:t>Możliwość zastosowania art. 8</w:t>
      </w:r>
      <w:bookmarkEnd w:id="12"/>
    </w:p>
    <w:p w:rsidR="00BC2D38" w:rsidRDefault="00BC2D38" w:rsidP="00682734">
      <w:pPr>
        <w:pStyle w:val="ECHRBullet1"/>
      </w:pPr>
      <w:r>
        <w:rPr>
          <w:rStyle w:val="sfbbfee58"/>
        </w:rPr>
        <w:t xml:space="preserve">Spory związane z zatrudnieniem nie są </w:t>
      </w:r>
      <w:r>
        <w:rPr>
          <w:rStyle w:val="sfbbfee58"/>
          <w:i/>
          <w:iCs/>
        </w:rPr>
        <w:t xml:space="preserve">per se </w:t>
      </w:r>
      <w:r>
        <w:rPr>
          <w:rStyle w:val="sfbbfee58"/>
        </w:rPr>
        <w:t>wyłączone z zakresu „życia prywatnego” w rozumieniu art. 8. W dwóch przypadkach problem prawny związany z „życiem prywatnym” może pojawić się w kontekście środków dyscyplinarnych – odwołania ze stanowiska lub przeniesienia na niższe stanowisko służbowe: czy to ze względów leżących u podstaw zaskarżonego środka (w przypadku zastosowania przez Trybunał podejścia opartego na przesłankach), czy to ze względu na konsekwencje dla życia prywatnego (w przypadku zastosowania przez Trybunał podejścia opartego na konsekwencjach)</w:t>
      </w:r>
      <w:r>
        <w:t xml:space="preserve"> (</w:t>
      </w:r>
      <w:hyperlink r:id="rId72" w:history="1">
        <w:r>
          <w:rPr>
            <w:i/>
            <w:iCs/>
            <w:color w:val="0072BC"/>
            <w:u w:val="single"/>
          </w:rPr>
          <w:t>Denisov przeciwko Ukrainie</w:t>
        </w:r>
      </w:hyperlink>
      <w:r>
        <w:t xml:space="preserve"> [WI], §§ 100–117; </w:t>
      </w:r>
      <w:hyperlink r:id="rId73" w:history="1">
        <w:r>
          <w:rPr>
            <w:rStyle w:val="Hipercze"/>
            <w:i/>
            <w:iCs/>
            <w:snapToGrid w:val="0"/>
          </w:rPr>
          <w:t>J.B. I Inni przeciwko Węgrom</w:t>
        </w:r>
      </w:hyperlink>
      <w:r>
        <w:rPr>
          <w:snapToGrid w:val="0"/>
        </w:rPr>
        <w:t xml:space="preserve"> (dec.), </w:t>
      </w:r>
      <w:r>
        <w:t>§ 128). Zatem, gdy powód zastosowania zaskarżonego środka nie ma żadnego związku z życiem prywatnym skarżącego, a jego ograniczone skutki nie przekraczają progu dotkliwości, nie ma problemu prawnego, na który można by powołać się na gruncie art. 8 (</w:t>
      </w:r>
      <w:hyperlink r:id="rId74" w:history="1">
        <w:r>
          <w:rPr>
            <w:i/>
            <w:iCs/>
            <w:color w:val="0072BC"/>
            <w:u w:val="single"/>
          </w:rPr>
          <w:t>Denisov przeciwko Ukrainie</w:t>
        </w:r>
      </w:hyperlink>
      <w:r>
        <w:t xml:space="preserve"> [WI], §§ 120–134; </w:t>
      </w:r>
      <w:hyperlink r:id="rId75" w:history="1">
        <w:r>
          <w:rPr>
            <w:rStyle w:val="Hipercze"/>
            <w:i/>
            <w:iCs/>
            <w:snapToGrid w:val="0"/>
          </w:rPr>
          <w:t>J.B. i inni przeciwko Węgrom</w:t>
        </w:r>
      </w:hyperlink>
      <w:r>
        <w:rPr>
          <w:snapToGrid w:val="0"/>
        </w:rPr>
        <w:t xml:space="preserve"> (dec.), </w:t>
      </w:r>
      <w:r>
        <w:t xml:space="preserve">§§ </w:t>
      </w:r>
      <w:r>
        <w:rPr>
          <w:snapToGrid w:val="0"/>
        </w:rPr>
        <w:t>130–138</w:t>
      </w:r>
      <w:r>
        <w:t>).</w:t>
      </w:r>
    </w:p>
    <w:p w:rsidR="00BC2D38" w:rsidRPr="00873602" w:rsidRDefault="00BC2D38" w:rsidP="00E676D7">
      <w:pPr>
        <w:pStyle w:val="ECHRBullet1"/>
        <w:rPr>
          <w:rStyle w:val="sfbbfee58"/>
          <w:rFonts w:cs="Times New Roman"/>
        </w:rPr>
      </w:pPr>
      <w:r>
        <w:rPr>
          <w:rStyle w:val="sfbbfee58"/>
        </w:rPr>
        <w:lastRenderedPageBreak/>
        <w:t>Jeżeli chodzi o podejście oparte na przesłankach,</w:t>
      </w:r>
      <w:r>
        <w:t xml:space="preserve"> w sprawie </w:t>
      </w:r>
      <w:hyperlink r:id="rId76" w:history="1">
        <w:r>
          <w:rPr>
            <w:rStyle w:val="Hipercze"/>
            <w:i/>
            <w:iCs/>
          </w:rPr>
          <w:t>Özpınar przeciwko Turcji</w:t>
        </w:r>
      </w:hyperlink>
      <w:r>
        <w:rPr>
          <w:rStyle w:val="sb8d990e2"/>
        </w:rPr>
        <w:t xml:space="preserve"> </w:t>
      </w:r>
      <w:r>
        <w:rPr>
          <w:rStyle w:val="sfbbfee58"/>
        </w:rPr>
        <w:t>dotyczącej postępowania w sprawie odwołania skarżącej z urzędu sędziego wchodziło w zakres art. 8, ponieważ dotyczyło nie tylko postępowania zawodowego, ale również konkretnych aspektów jej życia prywatnego, w szczególności jej bliskich relacji prywatnych, ubioru i makijażu oraz faktu, iż nie mieszkała z matką (§§ 43 i 47).</w:t>
      </w:r>
    </w:p>
    <w:p w:rsidR="00BC2D38" w:rsidRPr="00A512D2" w:rsidRDefault="00BC2D38" w:rsidP="00E676D7">
      <w:pPr>
        <w:pStyle w:val="ECHRBullet1"/>
        <w:rPr>
          <w:rStyle w:val="sfbbfee58"/>
          <w:rFonts w:cs="Times New Roman"/>
        </w:rPr>
      </w:pPr>
      <w:r>
        <w:rPr>
          <w:rStyle w:val="sfbbfee58"/>
        </w:rPr>
        <w:t>Jeżeli w grę wchodzi podejście oparte na konsekwencjach, kluczowego znaczenia nabiera próg dotkliwości w odniesieniu do typowych aspektów życia prywatnego. To do skarżącego należy wykazanie w przekonujący sposób, iż próg taki został osiągnięty. Skarżący musi przedstawić dowody na potwierdzenie konsekwencji zaskarżonego środka. Artykuł 8 ma zastosowanie jedynie wówczas, gdy konsekwencje są bardzo poważne i wpłynęły w bardzo dużym stopniu na jego życie prywatne</w:t>
      </w:r>
      <w:r>
        <w:rPr>
          <w:rStyle w:val="sfbbfee58"/>
          <w:color w:val="0072BC"/>
        </w:rPr>
        <w:t xml:space="preserve"> (</w:t>
      </w:r>
      <w:hyperlink r:id="rId77" w:history="1">
        <w:r>
          <w:rPr>
            <w:i/>
            <w:iCs/>
            <w:color w:val="0072BC"/>
            <w:u w:val="single"/>
          </w:rPr>
          <w:t>Denisov przeciwko Ukrainie</w:t>
        </w:r>
      </w:hyperlink>
      <w:r>
        <w:t xml:space="preserve"> [WI], §§ 116–117)</w:t>
      </w:r>
      <w:r>
        <w:rPr>
          <w:rStyle w:val="sfbbfee58"/>
        </w:rPr>
        <w:t>.</w:t>
      </w:r>
    </w:p>
    <w:p w:rsidR="00BC2D38" w:rsidRPr="00A512D2" w:rsidRDefault="00BC2D38" w:rsidP="00682734">
      <w:pPr>
        <w:pStyle w:val="ECHRBullet1"/>
        <w:rPr>
          <w:rStyle w:val="sfbbfee58"/>
          <w:rFonts w:cs="Times New Roman"/>
        </w:rPr>
      </w:pPr>
      <w:r>
        <w:rPr>
          <w:rStyle w:val="sfbbfee58"/>
        </w:rPr>
        <w:t>W rezultacie, jeżeli przyczyny nałożenia środka wpływającego na życie zawodowe danej osoby nie mają związku z jej życiem prywatnym (podejście oparte na konsekwencjach), problem prawny na gruncie art. 8 może nadal być pojawiać się, o ile zaskarżony środek ma lub może mieć negatywne skutki dla życia prywatnego danej osoby. W związku z tym Trybunał uwzględnił negatywne konsekwencje dotyczące (i) oddziaływania „wewnętrznego kręgu”, w szczególności, jeżeli występują poważne konsekwencje materialne, (ii) możliwości „nawiązywania i rozwijania relacji z innymi” przez daną osobą, a także (iii) oddziaływania na reputację danej osoby</w:t>
      </w:r>
      <w:r>
        <w:t xml:space="preserve"> (</w:t>
      </w:r>
      <w:hyperlink r:id="rId78" w:history="1">
        <w:r>
          <w:rPr>
            <w:i/>
            <w:iCs/>
            <w:color w:val="0072BC"/>
            <w:u w:val="single"/>
          </w:rPr>
          <w:t>Denisov przeciwko Ukrainie</w:t>
        </w:r>
      </w:hyperlink>
      <w:r>
        <w:t xml:space="preserve"> [WI], § 107).</w:t>
      </w:r>
    </w:p>
    <w:p w:rsidR="00BC2D38" w:rsidRPr="00A512D2" w:rsidRDefault="00BC2D38" w:rsidP="0030108A">
      <w:pPr>
        <w:pStyle w:val="ECHRBullet2"/>
        <w:rPr>
          <w:rStyle w:val="sfbbfee58"/>
          <w:rFonts w:cs="Times New Roman"/>
        </w:rPr>
      </w:pPr>
      <w:r>
        <w:rPr>
          <w:rStyle w:val="sfbbfee58"/>
        </w:rPr>
        <w:t xml:space="preserve">Na podstawie tego podejścia w sprawie </w:t>
      </w:r>
      <w:hyperlink r:id="rId79" w:history="1">
        <w:r>
          <w:rPr>
            <w:i/>
            <w:iCs/>
            <w:color w:val="0072BC"/>
            <w:u w:val="single"/>
          </w:rPr>
          <w:t>Oleksandr Volkov przeciwko Ukrainie</w:t>
        </w:r>
      </w:hyperlink>
      <w:r>
        <w:rPr>
          <w:rStyle w:val="sfbbfee58"/>
        </w:rPr>
        <w:t xml:space="preserve"> Trybunał stwierdził, że odwołanie sędziego ze względu na naruszenie obowiązków zawodowych w sposób stanowiący naruszenie przysięgi sędziowskiej wpłynęło na szeroki zakres jego relacji zawodowych i innych. Odwołanie miało też negatywny wpływ na „wewnętrzny krąg” skarżącego ze względu na utratę dochodu, jak również wpłynęło na jego reputację.</w:t>
      </w:r>
      <w:r>
        <w:t xml:space="preserve"> </w:t>
      </w:r>
      <w:r>
        <w:rPr>
          <w:rStyle w:val="sb8d990e2"/>
        </w:rPr>
        <w:t>Odwołanie skarżącego stanowiło zatem ingerencję w jego prawo do poszanowania „życia prywatnego”</w:t>
      </w:r>
      <w:r>
        <w:rPr>
          <w:rStyle w:val="sfbbfee58"/>
        </w:rPr>
        <w:t xml:space="preserve"> (§§ 166–167).</w:t>
      </w:r>
    </w:p>
    <w:p w:rsidR="00BC2D38" w:rsidRPr="00CD16BA" w:rsidRDefault="00BC2D38" w:rsidP="0030108A">
      <w:pPr>
        <w:pStyle w:val="ECHRBullet2"/>
        <w:rPr>
          <w:rFonts w:cs="Times New Roman"/>
        </w:rPr>
      </w:pPr>
      <w:r>
        <w:t xml:space="preserve">W sprawie </w:t>
      </w:r>
      <w:hyperlink r:id="rId80" w:history="1">
        <w:r>
          <w:rPr>
            <w:i/>
            <w:iCs/>
            <w:color w:val="0072BC"/>
            <w:u w:val="single"/>
          </w:rPr>
          <w:t>Denisov przeciwko Ukrainie</w:t>
        </w:r>
      </w:hyperlink>
      <w:r>
        <w:t xml:space="preserve"> [WI] </w:t>
      </w:r>
      <w:r>
        <w:rPr>
          <w:rStyle w:val="sfbbfee58"/>
        </w:rPr>
        <w:t>skarżący został odwołany ze stanowiska prezesa sądu apelacyjnego ze względu na niedopełnienie w należyty sposób ciążących na nim obowiązków administracyjnych. Pozostał sędzią w tym samym sądzie.</w:t>
      </w:r>
      <w:r>
        <w:t xml:space="preserve"> Nie stwierdzono podstaw do zastosowania art. 8. Skarżący nie został usunięty ze stanu sędziowskiego, a jedynie odwołany ze sprawowanej funkcji ze względu na niedostateczne umiejętności menedżerskie; odwołanie miało ograniczony skutek dla jego przyszłej kariery jako sędziego, zważywszy na jego zaawansowany wiek; krytyka ze strony władz nie wpłynęła na szerszy aspekt etyczny jego osobowości i charakteru, a zatem miała ograniczony wpływ na jego reputację (§§ 122–132).</w:t>
      </w:r>
    </w:p>
    <w:p w:rsidR="00BC2D38" w:rsidRPr="00A512D2" w:rsidRDefault="00BC2D38" w:rsidP="0030108A">
      <w:pPr>
        <w:pStyle w:val="ECHRBullet2"/>
        <w:rPr>
          <w:rFonts w:cs="Times New Roman"/>
        </w:rPr>
      </w:pPr>
      <w:r>
        <w:t xml:space="preserve">Sprawa </w:t>
      </w:r>
      <w:hyperlink r:id="rId81" w:history="1">
        <w:r>
          <w:rPr>
            <w:rStyle w:val="Hipercze"/>
            <w:i/>
            <w:iCs/>
            <w:snapToGrid w:val="0"/>
          </w:rPr>
          <w:t>J.B. i inni przeciwko Węgrom</w:t>
        </w:r>
      </w:hyperlink>
      <w:r>
        <w:rPr>
          <w:snapToGrid w:val="0"/>
        </w:rPr>
        <w:t xml:space="preserve"> </w:t>
      </w:r>
      <w:r>
        <w:rPr>
          <w:rStyle w:val="sfbbfee58"/>
        </w:rPr>
        <w:t>(dec.) dotyczyła odwołania sędziów i prokuratorów w następstwie obniżenia przymusowego wieku emerytalnego. Nie stwierdzono podstaw do zastosowania art. 8. Powody odwołania skarżących nie miały związku z ich „życiem prywatnym” w dostatecznym stopniu w rozumieniu art. 8 ani też konsekwencje zaskarżonych środków nie wpływały dostatecznie na ich życie prywatne w ramach tego przepisu.</w:t>
      </w:r>
      <w:r>
        <w:t xml:space="preserve"> </w:t>
      </w:r>
    </w:p>
    <w:p w:rsidR="00BC2D38" w:rsidRDefault="00BC2D38" w:rsidP="00D40FB2">
      <w:pPr>
        <w:pStyle w:val="ECHRHeading2"/>
      </w:pPr>
      <w:bookmarkStart w:id="13" w:name="_Toc5712741"/>
      <w:r>
        <w:t xml:space="preserve">Jakość prawa i </w:t>
      </w:r>
      <w:bookmarkEnd w:id="13"/>
      <w:r>
        <w:t>gwarancje procesowe</w:t>
      </w:r>
    </w:p>
    <w:p w:rsidR="00BC2D38" w:rsidRDefault="00BC2D38" w:rsidP="00B71560">
      <w:pPr>
        <w:pStyle w:val="ECHRHeading5"/>
        <w:rPr>
          <w:i/>
          <w:iCs/>
        </w:rPr>
      </w:pPr>
      <w:r>
        <w:rPr>
          <w:i/>
          <w:iCs/>
        </w:rPr>
        <w:t>i. Zgodność z wymogami „jakości prawa”</w:t>
      </w:r>
    </w:p>
    <w:p w:rsidR="00BC2D38" w:rsidRPr="005B65DD" w:rsidRDefault="00BC2D38" w:rsidP="005B65DD">
      <w:pPr>
        <w:pStyle w:val="ECHRBullet1"/>
        <w:rPr>
          <w:rFonts w:cs="Times New Roman"/>
        </w:rPr>
      </w:pPr>
      <w:r>
        <w:rPr>
          <w:rStyle w:val="sfbbfee58"/>
        </w:rPr>
        <w:t xml:space="preserve">Ingerencja w prawo sędziego do poszanowania jego życia prywatnego musi być przewidziana przez ustawę, zgodnie z wymogami „jakości prawa” </w:t>
      </w:r>
      <w:r>
        <w:t>(</w:t>
      </w:r>
      <w:hyperlink r:id="rId82" w:history="1">
        <w:r>
          <w:rPr>
            <w:i/>
            <w:iCs/>
            <w:color w:val="0072BC"/>
            <w:u w:val="single"/>
          </w:rPr>
          <w:t>Oleksandr Volkov przeciwko Ukrainie</w:t>
        </w:r>
      </w:hyperlink>
      <w:r>
        <w:rPr>
          <w:rStyle w:val="sfbbfee58"/>
          <w:color w:val="0072BC"/>
        </w:rPr>
        <w:t xml:space="preserve">, </w:t>
      </w:r>
      <w:r>
        <w:rPr>
          <w:rStyle w:val="sfbbfee58"/>
        </w:rPr>
        <w:t>§§ 173–187).</w:t>
      </w:r>
      <w:r>
        <w:t xml:space="preserve"> Trybunał uznał, że trudne może być ujęcie ram </w:t>
      </w:r>
      <w:r>
        <w:lastRenderedPageBreak/>
        <w:t>prawnych w sposób wysoce precyzyjny i że pożądany może być nawet pewien stopień elastyczności (</w:t>
      </w:r>
      <w:hyperlink r:id="rId83" w:history="1">
        <w:r>
          <w:rPr>
            <w:i/>
            <w:iCs/>
            <w:color w:val="0072BC"/>
            <w:u w:val="single"/>
          </w:rPr>
          <w:t>Oleksandr Volkov przeciwko Ikrainie</w:t>
        </w:r>
      </w:hyperlink>
      <w:r>
        <w:rPr>
          <w:color w:val="0072BC"/>
          <w:u w:val="single"/>
        </w:rPr>
        <w:t xml:space="preserve">, </w:t>
      </w:r>
      <w:r>
        <w:t xml:space="preserve">§ 175 i §§ 178–179). Musi istnieć jednak dająca się przewidzieć i spójna wykładnia ustawy oraz wymagane gwarancje procesowe służące zapobieganiu arbitralnemu stosowaniu odpowiedniego </w:t>
      </w:r>
      <w:r>
        <w:rPr>
          <w:rStyle w:val="sb8d990e2"/>
        </w:rPr>
        <w:t>prawa materialnego</w:t>
      </w:r>
      <w:r>
        <w:t xml:space="preserve"> (</w:t>
      </w:r>
      <w:hyperlink r:id="rId84" w:history="1">
        <w:r>
          <w:rPr>
            <w:rStyle w:val="Hipercze"/>
            <w:i/>
            <w:iCs/>
          </w:rPr>
          <w:t>Oleksandr Volkov przeciwko Ukrainie</w:t>
        </w:r>
      </w:hyperlink>
      <w:r>
        <w:rPr>
          <w:i/>
          <w:iCs/>
        </w:rPr>
        <w:t xml:space="preserve">, </w:t>
      </w:r>
      <w:r>
        <w:t>§§ 176–179).</w:t>
      </w:r>
    </w:p>
    <w:p w:rsidR="00BC2D38" w:rsidRPr="00802736" w:rsidRDefault="00BC2D38" w:rsidP="00B57C5A">
      <w:pPr>
        <w:pStyle w:val="ECHRBullet2"/>
        <w:rPr>
          <w:rFonts w:cs="Times New Roman"/>
        </w:rPr>
      </w:pPr>
      <w:r>
        <w:t xml:space="preserve">Sprawa </w:t>
      </w:r>
      <w:hyperlink r:id="rId85" w:history="1">
        <w:r>
          <w:rPr>
            <w:rStyle w:val="Hipercze"/>
            <w:i/>
            <w:iCs/>
          </w:rPr>
          <w:t>Oleksandra Volkova przeciwko Ukrainie</w:t>
        </w:r>
      </w:hyperlink>
      <w:r>
        <w:t xml:space="preserve"> dotyczyła </w:t>
      </w:r>
      <w:r>
        <w:rPr>
          <w:rStyle w:val="sfbbfee58"/>
        </w:rPr>
        <w:t>odwołania sędziego za „złamanie przysięgi”. T</w:t>
      </w:r>
      <w:r>
        <w:t xml:space="preserve">rybunał stwierdził naruszenie art. 8, ponieważ mające zastosowanie przepisy krajowe nie spełniały wymogów przewidywalności i zapewnienia odpowiedniej ochrony przed arbitralnością (§ 186). Brak wytycznych i praktyk ustanawiających spójną i zawężającą wykładnię przestępstwa „złamania przysięgi” oraz brak odpowiednich zabezpieczeń prawnych poskutkował nieprzewidywalnością odpowiednich przepisów prawa krajowego. W tym kontekście można by słusznie założyć, że prawie wszystkie przewinienia dyscyplinarne sędziego, które miały miejsce w dowolnym momencie kariery zawodowej, można zinterpretować, jeżeli zażyczy sobie tego organ dyscyplinarny, jako dostateczną podstawę faktyczną, by postawić danej osobie zarzut „naruszenia przysięgi”, a przez to doprowadzić do usunięcia ze stanowiska (§§ 180–185 - zobacz również </w:t>
      </w:r>
      <w:hyperlink r:id="rId86" w:history="1">
        <w:r>
          <w:rPr>
            <w:rStyle w:val="Hipercze"/>
            <w:i/>
            <w:iCs/>
          </w:rPr>
          <w:t>Kulykov i inni przeciwko Ukrainie</w:t>
        </w:r>
      </w:hyperlink>
      <w:r>
        <w:t xml:space="preserve">, §§ 138–139). </w:t>
      </w:r>
    </w:p>
    <w:p w:rsidR="00BC2D38" w:rsidRPr="00B71560" w:rsidRDefault="00BC2D38" w:rsidP="00B71560">
      <w:pPr>
        <w:pStyle w:val="ECHRHeading5"/>
        <w:rPr>
          <w:rFonts w:cs="Times New Roman"/>
        </w:rPr>
      </w:pPr>
      <w:r>
        <w:rPr>
          <w:i/>
          <w:iCs/>
        </w:rPr>
        <w:t>ii. Gwarancje procesowe w postępowaniach dyscyplinarnych przeciwko sędziom</w:t>
      </w:r>
    </w:p>
    <w:p w:rsidR="00BC2D38" w:rsidRPr="005B65DD" w:rsidRDefault="00BC2D38" w:rsidP="004536F1">
      <w:pPr>
        <w:pStyle w:val="ECHRBullet1"/>
        <w:rPr>
          <w:rFonts w:cs="Times New Roman"/>
        </w:rPr>
      </w:pPr>
      <w:r>
        <w:rPr>
          <w:rStyle w:val="sfbbfee58"/>
        </w:rPr>
        <w:t>Sędzia, któremu groziło usunięcie ze stanowiska ze względu na sprawy związane z życiem prywatnym lub rodzinnym, musiał mieć dostęp do gwarancji chroniących przed arbitralnością, w szczególności gwarancji postępowania kontradyktoryjnego przed niezależnym i bezstronnym organem nadzoru</w:t>
      </w:r>
      <w:r>
        <w:t xml:space="preserve"> (</w:t>
      </w:r>
      <w:hyperlink r:id="rId87" w:history="1">
        <w:r>
          <w:rPr>
            <w:i/>
            <w:iCs/>
            <w:color w:val="0072BC"/>
            <w:u w:val="single"/>
          </w:rPr>
          <w:t>Özpınar przeciwko Turcji</w:t>
        </w:r>
      </w:hyperlink>
      <w:r>
        <w:t>, §§ 78–79).</w:t>
      </w:r>
    </w:p>
    <w:p w:rsidR="00BC2D38" w:rsidRPr="005B65DD" w:rsidRDefault="00BC2D38" w:rsidP="00E816D7">
      <w:pPr>
        <w:pStyle w:val="ECHRBullet2"/>
        <w:rPr>
          <w:rFonts w:cs="Times New Roman"/>
        </w:rPr>
      </w:pPr>
      <w:r>
        <w:t xml:space="preserve">W sprawie </w:t>
      </w:r>
      <w:hyperlink r:id="rId88" w:history="1">
        <w:r>
          <w:rPr>
            <w:i/>
            <w:iCs/>
            <w:color w:val="0072BC"/>
            <w:u w:val="single"/>
          </w:rPr>
          <w:t>Özpınar przeciwko Turcji</w:t>
        </w:r>
      </w:hyperlink>
      <w:r>
        <w:t>, nawet jeżeli pewne aspekty postępowania przypisywane skarżącemu, w szczególności decyzje rzekomo podejmowane ze względów osobistych – mogły uzasadniać usunięcie ze stanowiska, postępowanie wyjaśniające nie doprowadziło do uzasadnienia oskarżeń i uwzględniało szereg czynności, które nie miały związku z działalnością zawodową. Co więcej, skarżąca w prowadzonym przeciwko niej postępowaniu miała dostęp do niewielu gwarancji, ponieważ została wezwana przed organ dyscyplinarny z dużym opóźnieniem i nie otrzymała wcześniej do wglądu sprawozdań z postępowania wyjaśniającego. W rezultacie stwierdzono, iż doszło do naruszenia art. 8 (§ 77).</w:t>
      </w:r>
    </w:p>
    <w:p w:rsidR="00BC2D38" w:rsidRPr="00D40FB2" w:rsidRDefault="00BC2D38" w:rsidP="00A512D2">
      <w:pPr>
        <w:pStyle w:val="ECHRHeading2"/>
        <w:rPr>
          <w:rFonts w:cs="Times New Roman"/>
        </w:rPr>
      </w:pPr>
      <w:bookmarkStart w:id="14" w:name="_Toc5712742"/>
      <w:bookmarkStart w:id="15" w:name="art10"/>
      <w:r>
        <w:t>Obowiązek powściągliwości i dyskrecji</w:t>
      </w:r>
      <w:bookmarkEnd w:id="14"/>
    </w:p>
    <w:p w:rsidR="00BC2D38" w:rsidRPr="00802736" w:rsidRDefault="00BC2D38" w:rsidP="00A512D2">
      <w:pPr>
        <w:pStyle w:val="ECHRBullet1"/>
        <w:rPr>
          <w:rFonts w:cs="Times New Roman"/>
        </w:rPr>
      </w:pPr>
      <w:r>
        <w:t>Strony – Państwa mogą nałożyć na sędziów obowiązek zachowania powściągliwości w celu utrzymania ich niezawisłości oraz autorytetu ich orzeczeń. Trybunał uznał, że wynikająca z ingerencja w prawo do poszanowania „życia prywatnego” realizuje uzasadnione cele „zapobiegania nieładowi” oraz „ochrony praw i wolności innych osób” (</w:t>
      </w:r>
      <w:hyperlink r:id="rId89" w:history="1">
        <w:r>
          <w:rPr>
            <w:i/>
            <w:iCs/>
            <w:color w:val="0072BC"/>
            <w:u w:val="single"/>
          </w:rPr>
          <w:t>Özpınar przeciwko Turcji</w:t>
        </w:r>
      </w:hyperlink>
      <w:r>
        <w:t>, §§ 55–56).</w:t>
      </w:r>
    </w:p>
    <w:p w:rsidR="00BC2D38" w:rsidRPr="00CD16BA" w:rsidRDefault="00BC2D38" w:rsidP="00A512D2">
      <w:pPr>
        <w:pStyle w:val="ECHRBullet1"/>
        <w:rPr>
          <w:rFonts w:cs="Times New Roman"/>
        </w:rPr>
      </w:pPr>
      <w:r>
        <w:t>Obowiązki etyczne sędziów mogą wkraczać w ich życie prywatne, jeżeli poprzez swoje zachowanie, choćby prywatne, sędziowie podważają obraz lub reputację sądownictwa. Osoby będące sędziami pozostają jednak osobami, którym przysługuje ochrona z art. 8 (</w:t>
      </w:r>
      <w:hyperlink r:id="rId90" w:history="1">
        <w:r>
          <w:rPr>
            <w:i/>
            <w:iCs/>
            <w:color w:val="0072BC"/>
            <w:u w:val="single"/>
          </w:rPr>
          <w:t>Özpınar przeciwko Turcji</w:t>
        </w:r>
      </w:hyperlink>
      <w:r>
        <w:t>, §§ 71–72).</w:t>
      </w:r>
    </w:p>
    <w:p w:rsidR="00BC2D38" w:rsidRPr="00FE1DB5" w:rsidRDefault="00BC2D38" w:rsidP="00A512D2">
      <w:pPr>
        <w:pStyle w:val="ECHRBullet1"/>
        <w:rPr>
          <w:rFonts w:cs="Times New Roman"/>
        </w:rPr>
      </w:pPr>
      <w:r>
        <w:t xml:space="preserve">Z kolei w sprawie </w:t>
      </w:r>
      <w:hyperlink r:id="rId91" w:history="1">
        <w:r>
          <w:rPr>
            <w:rStyle w:val="Hipercze"/>
            <w:i/>
            <w:iCs/>
          </w:rPr>
          <w:t>Pitkevich przeciwko Rosji</w:t>
        </w:r>
      </w:hyperlink>
      <w:r>
        <w:t xml:space="preserve"> (dec.) skarżąca została odwołana za konkretne działania podejmowane w trakcie pełnienia funkcji sędziowskich. Chociaż zarzuty skarżącej zostały podniesione na podstawie art. 9 i 10 Konwencji, a Trybunał analizował tę sprawę głównie na podstawie art. 10, interesujące może być podkreślenie tu pewnych aspektów sprawy.</w:t>
      </w:r>
    </w:p>
    <w:p w:rsidR="00BC2D38" w:rsidRPr="007B6815" w:rsidRDefault="00BC2D38" w:rsidP="00A512D2">
      <w:pPr>
        <w:pStyle w:val="ECHRBullet1"/>
        <w:rPr>
          <w:rFonts w:cs="Times New Roman"/>
        </w:rPr>
      </w:pPr>
      <w:r>
        <w:lastRenderedPageBreak/>
        <w:t xml:space="preserve">Ustalono, że skarżąca zwerbowała kilku współpracowników i osób trzecich do Kościoła, że bez powodzenia usiłowała zwerbować szereg innych osób, że publicznie modliła się podczas rozpraw sądowych, że obiecała określonym stronom postępowania korzystne dla nich rozstrzygnięcie spraw w zamian za dołączenie do kościoła, że skrytykowała postawę moralną pewnych stron postępowania w zakresie różnych praw rodziny, jak też, że wspomniane działania skutkowały opóźnieniem spraw i szeregiem skarg na skarżącą. </w:t>
      </w:r>
    </w:p>
    <w:p w:rsidR="00BC2D38" w:rsidRPr="007B6815" w:rsidRDefault="00BC2D38" w:rsidP="00A512D2">
      <w:pPr>
        <w:pStyle w:val="ECHRBullet2"/>
        <w:numPr>
          <w:ilvl w:val="0"/>
          <w:numId w:val="0"/>
        </w:numPr>
        <w:ind w:left="1004"/>
        <w:rPr>
          <w:rStyle w:val="sb8d990e2"/>
          <w:rFonts w:cs="Times New Roman"/>
        </w:rPr>
      </w:pPr>
      <w:r>
        <w:t>Ustalono również, że fakt, iż skarżąca przynależy do Kościoła lub ma poglądy religijne sam w sobie nie stanowił podstawy do odwołania.</w:t>
      </w:r>
    </w:p>
    <w:p w:rsidR="00BC2D38" w:rsidRPr="007B6815" w:rsidRDefault="00BC2D38" w:rsidP="00A512D2">
      <w:pPr>
        <w:pStyle w:val="ECHRBullet1"/>
        <w:rPr>
          <w:rFonts w:cs="Times New Roman"/>
        </w:rPr>
      </w:pPr>
      <w:r>
        <w:rPr>
          <w:rStyle w:val="sb8d990e2"/>
        </w:rPr>
        <w:t>Na podstawie tych faktów uznano, że skarżąca zastraszała strony postępowania sądowego i promowała Kościół ze szkodą dla interesu państwa, jakim jest ochrona praworządności. W rezultacie skarżąca poddawała w wątpliwość własną bezstronność i działała na szkodę powagi wymiaru sprawiedliwości. W tych okolicznościach, działając w obrębie pewnego marginesu oceny, Trybunał orzekł, że względy przedstawione przez władze w tej sprawie były „dostateczne” dla ingerencji w prawa skarżącej przewidziane w art. 10 Konwencji.</w:t>
      </w:r>
      <w:r>
        <w:t xml:space="preserve"> </w:t>
      </w:r>
      <w:r>
        <w:rPr>
          <w:rStyle w:val="sb8d990e2"/>
        </w:rPr>
        <w:t>W rezultacie odwołanie skarżącej z urzędu sędziego było proporcjonalne względem celów, do których miało prowadzić</w:t>
      </w:r>
      <w:r w:rsidRPr="007B6815">
        <w:rPr>
          <w:rStyle w:val="Odwoanieprzypisudolnego"/>
          <w:rFonts w:cs="Times New Roman"/>
        </w:rPr>
        <w:footnoteReference w:id="2"/>
      </w:r>
      <w:r>
        <w:rPr>
          <w:rStyle w:val="sb8d990e2"/>
        </w:rPr>
        <w:t>.</w:t>
      </w:r>
    </w:p>
    <w:p w:rsidR="00BC2D38" w:rsidRPr="00B9756E" w:rsidRDefault="00BC2D38" w:rsidP="005B65DD">
      <w:pPr>
        <w:pStyle w:val="ECHRParaSpaced"/>
      </w:pPr>
    </w:p>
    <w:p w:rsidR="00BC2D38" w:rsidRPr="00802736" w:rsidRDefault="00BC2D38" w:rsidP="002D2ACB">
      <w:pPr>
        <w:pStyle w:val="ECHRHeading1"/>
        <w:pBdr>
          <w:bottom w:val="single" w:sz="12" w:space="0" w:color="949494"/>
        </w:pBdr>
        <w:rPr>
          <w:rFonts w:cs="Times New Roman"/>
        </w:rPr>
      </w:pPr>
      <w:bookmarkStart w:id="16" w:name="_Toc5712743"/>
      <w:r>
        <w:t>Artykuł 10</w:t>
      </w:r>
      <w:bookmarkEnd w:id="16"/>
    </w:p>
    <w:bookmarkEnd w:id="15"/>
    <w:p w:rsidR="00BC2D38" w:rsidRDefault="00BC2D38" w:rsidP="005B65DD">
      <w:pPr>
        <w:pStyle w:val="ECHRParaSpaced"/>
      </w:pPr>
      <w:r>
        <w:t xml:space="preserve">Skutek art. 10 w związku z uczestnikami procesu jest dwojakiego rodzaju. Z jednej strony sędziowie występują jako podstawowe </w:t>
      </w:r>
      <w:r>
        <w:rPr>
          <w:i/>
          <w:iCs/>
        </w:rPr>
        <w:t>podmioty</w:t>
      </w:r>
      <w:r>
        <w:t xml:space="preserve">, wykonujące na podstawie art. 10 swoje prawo do wolności wyrażania opinii, ale są również zobowiązani do przestrzegania zasady dyskrecji i powściągliwości. Z drugiej strony sędziowie są </w:t>
      </w:r>
      <w:r>
        <w:rPr>
          <w:i/>
          <w:iCs/>
        </w:rPr>
        <w:t xml:space="preserve">adresatami </w:t>
      </w:r>
      <w:r>
        <w:t>wypowiedzi innych podmiotów na sali sądowej i poza nią. Z tego względu chociaż jako urzędnicy publiczni są otwarci na kontrolę publiczną i oczekuje się od nich większej tolerancji na krytykę, oferuje się im szczególną ochronę przed destrukcyjnymi atakami, w szczególności w celu utrzymania autorytetu i bezstronności sądownictwa.</w:t>
      </w:r>
    </w:p>
    <w:p w:rsidR="00BC2D38" w:rsidRPr="00802736" w:rsidRDefault="00BC2D38" w:rsidP="005B65DD">
      <w:pPr>
        <w:pStyle w:val="ECHRParaSpaced"/>
      </w:pPr>
    </w:p>
    <w:p w:rsidR="00BC2D38" w:rsidRPr="00802736" w:rsidRDefault="00BC2D38" w:rsidP="00C2389D">
      <w:pPr>
        <w:pStyle w:val="ECHRHeading2"/>
        <w:rPr>
          <w:rFonts w:cs="Times New Roman"/>
        </w:rPr>
      </w:pPr>
      <w:bookmarkStart w:id="17" w:name="_Toc5712744"/>
      <w:r>
        <w:t>Możliwość zastosowania art. 10 i zasad ogólnych</w:t>
      </w:r>
      <w:bookmarkEnd w:id="17"/>
    </w:p>
    <w:p w:rsidR="00BC2D38" w:rsidRPr="00802736" w:rsidRDefault="00BC2D38" w:rsidP="007E0A3D">
      <w:pPr>
        <w:pStyle w:val="ECHRBullet1"/>
        <w:rPr>
          <w:rFonts w:cs="Times New Roman"/>
        </w:rPr>
      </w:pPr>
      <w:r>
        <w:t>Wysoki poziom ochrony wolności wyrażania opinii, który sprawia, że organy mają wąski margines oceny, zazwyczaj będzie przyznany, gdy uwagi dotyczą zagadnienia interesu publicznego, a w szczególności gdy są to uwagi dotyczące funkcjonowania sadownictwa (</w:t>
      </w:r>
      <w:hyperlink r:id="rId92" w:history="1">
        <w:r>
          <w:rPr>
            <w:rStyle w:val="Hipercze"/>
            <w:i/>
            <w:iCs/>
          </w:rPr>
          <w:t>Baka przeciwko Węgrom</w:t>
        </w:r>
      </w:hyperlink>
      <w:r>
        <w:t xml:space="preserve"> [WI], § 159; </w:t>
      </w:r>
      <w:hyperlink r:id="rId93" w:history="1">
        <w:r>
          <w:rPr>
            <w:rStyle w:val="Hipercze"/>
            <w:i/>
            <w:iCs/>
          </w:rPr>
          <w:t>Morice przeciwko Francji</w:t>
        </w:r>
      </w:hyperlink>
      <w:r>
        <w:rPr>
          <w:i/>
          <w:iCs/>
        </w:rPr>
        <w:t xml:space="preserve"> </w:t>
      </w:r>
      <w:r>
        <w:t xml:space="preserve">[WI], § 125; </w:t>
      </w:r>
      <w:hyperlink r:id="rId94" w:history="1">
        <w:r>
          <w:rPr>
            <w:rStyle w:val="Hipercze"/>
            <w:i/>
            <w:iCs/>
          </w:rPr>
          <w:t>Narodni List D.D. przeciwko Chorwacji</w:t>
        </w:r>
      </w:hyperlink>
      <w:r>
        <w:t>, § 60). Zasada ta ma zastosowanie niezależnie od tego, czy sprawa dotyczy wolności wyrażania opinii przez sądownictwo czy inne podmioty.</w:t>
      </w:r>
    </w:p>
    <w:p w:rsidR="00BC2D38" w:rsidRPr="00802736" w:rsidRDefault="00BC2D38" w:rsidP="00C2389D">
      <w:pPr>
        <w:pStyle w:val="ECHRBullet1"/>
        <w:rPr>
          <w:rFonts w:cs="Times New Roman"/>
        </w:rPr>
      </w:pPr>
      <w:r>
        <w:rPr>
          <w:rStyle w:val="sb8d990e2"/>
        </w:rPr>
        <w:t xml:space="preserve">Chociaż zasadne jest nakładanie przez państwo na urzędników cywilnych – ze względu na ich status – obowiązku zachowania dyskrecji, są oni </w:t>
      </w:r>
      <w:r>
        <w:t>jednostkami, w związku z czym przysługuje im ochrona z tytułu art. 10 Konwencji (</w:t>
      </w:r>
      <w:hyperlink r:id="rId95" w:history="1">
        <w:r>
          <w:rPr>
            <w:rStyle w:val="Hipercze"/>
            <w:i/>
            <w:iCs/>
          </w:rPr>
          <w:t>Vogt przeciwko Niemcom</w:t>
        </w:r>
      </w:hyperlink>
      <w:r>
        <w:t xml:space="preserve"> [WI], § 53). Chociaż sądownictwo nie stanowi części zwykłej służby cywilnej, zasady określone dla urzędników cywilnych mają zastosowanie również do sędziów (</w:t>
      </w:r>
      <w:hyperlink r:id="rId96" w:history="1">
        <w:r>
          <w:rPr>
            <w:rStyle w:val="Hipercze"/>
            <w:i/>
            <w:iCs/>
          </w:rPr>
          <w:t>Pitkevich przeciwko Rosji</w:t>
        </w:r>
      </w:hyperlink>
      <w:r>
        <w:t xml:space="preserve"> (dec.); </w:t>
      </w:r>
      <w:hyperlink r:id="rId97" w:history="1">
        <w:r>
          <w:rPr>
            <w:rStyle w:val="Hipercze"/>
            <w:i/>
            <w:iCs/>
          </w:rPr>
          <w:t>Wille przeciwko Liechtensteinowi</w:t>
        </w:r>
      </w:hyperlink>
      <w:r>
        <w:t xml:space="preserve"> [WI], § 42; </w:t>
      </w:r>
      <w:hyperlink r:id="rId98" w:history="1">
        <w:r>
          <w:rPr>
            <w:rStyle w:val="Hipercze"/>
            <w:i/>
            <w:iCs/>
          </w:rPr>
          <w:t>Baka przeciwko Węgrom</w:t>
        </w:r>
      </w:hyperlink>
      <w:r>
        <w:t xml:space="preserve"> [WI], § 140) i prokuratorów (</w:t>
      </w:r>
      <w:hyperlink r:id="rId99" w:history="1">
        <w:r>
          <w:rPr>
            <w:rStyle w:val="Hipercze"/>
            <w:i/>
            <w:iCs/>
          </w:rPr>
          <w:t>Kayasu przeciwko Turcji</w:t>
        </w:r>
      </w:hyperlink>
      <w:r>
        <w:rPr>
          <w:rStyle w:val="Hipercze"/>
          <w:color w:val="auto"/>
          <w:u w:val="none"/>
        </w:rPr>
        <w:t xml:space="preserve">, </w:t>
      </w:r>
      <w:r>
        <w:t xml:space="preserve">§ 91–92; </w:t>
      </w:r>
      <w:hyperlink r:id="rId100" w:history="1">
        <w:r>
          <w:rPr>
            <w:rStyle w:val="Hipercze"/>
            <w:i/>
            <w:iCs/>
          </w:rPr>
          <w:t>Brisc przeciwko Rumunii</w:t>
        </w:r>
      </w:hyperlink>
      <w:r>
        <w:t>, § 105). W związku z powyższym, choć status skarżących jako sędziów nie pozbawia ich ochrony z tytułu art. 10, ich wolność wyrażania opinii idzie w parze z obowiązkiem dyskrecji wynikającym z ich statusu urzędników cywilnych (</w:t>
      </w:r>
      <w:hyperlink r:id="rId101" w:history="1">
        <w:r>
          <w:rPr>
            <w:rStyle w:val="Hipercze"/>
            <w:i/>
            <w:iCs/>
          </w:rPr>
          <w:t>Vogt przeciwko Niemcom</w:t>
        </w:r>
      </w:hyperlink>
      <w:r>
        <w:t xml:space="preserve"> [WI], § 53; </w:t>
      </w:r>
      <w:hyperlink r:id="rId102" w:history="1">
        <w:r>
          <w:rPr>
            <w:rStyle w:val="Hipercze"/>
            <w:i/>
            <w:iCs/>
          </w:rPr>
          <w:t>Baka przeciwko Węgrom</w:t>
        </w:r>
      </w:hyperlink>
      <w:r>
        <w:t xml:space="preserve"> [WI], 162).</w:t>
      </w:r>
    </w:p>
    <w:p w:rsidR="00BC2D38" w:rsidRDefault="00BC2D38" w:rsidP="00C2389D">
      <w:pPr>
        <w:pStyle w:val="ECHRBullet1"/>
      </w:pPr>
      <w:r>
        <w:lastRenderedPageBreak/>
        <w:t>To do Trybunału należy zatem ustalenie, z uwzględnieniem okoliczności danej sprawy, czy osiągnięto sprawiedliwą równowagę między prawem podstawowym, jakim jest prawo jednostki do wolności wyrażania opinii, a uzasadnionym interesem demokratycznego państwa, jakim jest zapewnienie, aby służba cywilna w sposób właściwy realizowała cele wymienione w art. 10 ust. 2. Dokonując kontroli w tym zakresie, Trybunał będzie miał na uwadze, że każdorazowo gdy przedmiotem sporu jest prawo urzędnika cywilnego do wolności wyrażania opinii „obowiązki i odpowiedzialność”, o których mowa w art. 10 ust. 2, nabierają szczególnego znaczenia, co uzasadnia pozostawienie organom krajowym pewnego marginesu oceny przy ustalaniu, czy zaskarżona ingerencja jest proporcjonalna względem celu, któremu ma służyć (</w:t>
      </w:r>
      <w:hyperlink r:id="rId103" w:history="1">
        <w:r>
          <w:rPr>
            <w:rStyle w:val="Hipercze"/>
            <w:i/>
            <w:iCs/>
          </w:rPr>
          <w:t>Baka przeciwko Węgrom</w:t>
        </w:r>
      </w:hyperlink>
      <w:r>
        <w:t xml:space="preserve"> [WI], § 162). Z uwagi na prominentne miejsce wśród organów państwowych, jakie zajmuje sądownictwo w społeczeństwie demokratycznym, Trybunał przypomina, że podejście to ma zastosowanie również w razie ograniczania wolności wyrażania opinii przez sędziów w związku z pełnionymi przez nich funkcjami, mimo iż sądownictwo nie jest częścią zwykłej służby cywilnej (</w:t>
      </w:r>
      <w:hyperlink r:id="rId104" w:history="1">
        <w:r>
          <w:rPr>
            <w:rStyle w:val="Hipercze"/>
            <w:i/>
            <w:iCs/>
          </w:rPr>
          <w:t>Baka przeciwko Węgrom</w:t>
        </w:r>
      </w:hyperlink>
      <w:r>
        <w:t xml:space="preserve"> [WI], § 163).</w:t>
      </w:r>
    </w:p>
    <w:p w:rsidR="00BC2D38" w:rsidRDefault="00BC2D38" w:rsidP="00F201AD">
      <w:pPr>
        <w:pStyle w:val="ECHRParaSpaced"/>
      </w:pPr>
    </w:p>
    <w:p w:rsidR="00BC2D38" w:rsidRPr="00802736" w:rsidRDefault="00BC2D38" w:rsidP="00C2389D">
      <w:pPr>
        <w:pStyle w:val="ECHRHeading2"/>
        <w:rPr>
          <w:rFonts w:cs="Times New Roman"/>
        </w:rPr>
      </w:pPr>
      <w:bookmarkStart w:id="18" w:name="_Toc5712745"/>
      <w:r>
        <w:t>Wypowiedzi sędziów</w:t>
      </w:r>
      <w:bookmarkEnd w:id="18"/>
    </w:p>
    <w:p w:rsidR="00BC2D38" w:rsidRPr="00802736" w:rsidRDefault="00BC2D38" w:rsidP="00C2389D">
      <w:pPr>
        <w:pStyle w:val="ECHRHeading3"/>
        <w:rPr>
          <w:rFonts w:cs="Times New Roman"/>
        </w:rPr>
      </w:pPr>
      <w:bookmarkStart w:id="19" w:name="_Toc5712746"/>
      <w:r>
        <w:t>Wysoki poziom ochrony na podstawie art. 10</w:t>
      </w:r>
      <w:bookmarkEnd w:id="19"/>
    </w:p>
    <w:p w:rsidR="00BC2D38" w:rsidRPr="00802736" w:rsidRDefault="00BC2D38" w:rsidP="00C2389D">
      <w:pPr>
        <w:pStyle w:val="ECHRBullet1"/>
        <w:rPr>
          <w:rFonts w:cs="Times New Roman"/>
        </w:rPr>
      </w:pPr>
      <w:r>
        <w:t>Mając na uwadze w szczególności rosnące znaczenie zasady trójpodziału władzy i niezależności sądownictwa, wszelkie ingerencje w wolność wyrażania opinii przez sędziego, szczególnie zajmującego wyższe stanowisko w sądownictwie, wymagają uważnej analizy ze strony Trybunału (</w:t>
      </w:r>
      <w:hyperlink r:id="rId105" w:history="1">
        <w:r>
          <w:rPr>
            <w:rStyle w:val="Hipercze"/>
            <w:i/>
            <w:iCs/>
          </w:rPr>
          <w:t>Wille przeciwko Liechtensteinowi</w:t>
        </w:r>
      </w:hyperlink>
      <w:r>
        <w:t xml:space="preserve"> [WI], § 64; </w:t>
      </w:r>
      <w:hyperlink r:id="rId106" w:history="1">
        <w:r>
          <w:rPr>
            <w:rStyle w:val="Hipercze"/>
            <w:i/>
            <w:iCs/>
          </w:rPr>
          <w:t>Baka przeciwko Węgrom</w:t>
        </w:r>
      </w:hyperlink>
      <w:r>
        <w:t xml:space="preserve"> [WI], § 165; </w:t>
      </w:r>
      <w:hyperlink r:id="rId107" w:history="1">
        <w:r>
          <w:rPr>
            <w:rStyle w:val="Hipercze"/>
            <w:i/>
            <w:iCs/>
          </w:rPr>
          <w:t>Harabin przeciwko Słowacji</w:t>
        </w:r>
      </w:hyperlink>
      <w:r>
        <w:t xml:space="preserve"> (dec.)).</w:t>
      </w:r>
    </w:p>
    <w:p w:rsidR="00BC2D38" w:rsidRPr="00802736" w:rsidRDefault="00BC2D38" w:rsidP="00FB126D">
      <w:pPr>
        <w:pStyle w:val="ECHRBullet1"/>
        <w:rPr>
          <w:rFonts w:cs="Times New Roman"/>
        </w:rPr>
      </w:pPr>
      <w:r>
        <w:t>Pytania dotyczące funkcjonowania wymiaru sprawiedliwości wchodzą w zakres interesu publicznego, a więc debaty, która na ogół cieszy się wysokim stopniem ochrony na gruncie art. 10 (</w:t>
      </w:r>
      <w:hyperlink r:id="rId108" w:history="1">
        <w:r>
          <w:rPr>
            <w:rStyle w:val="Hipercze"/>
            <w:i/>
            <w:iCs/>
          </w:rPr>
          <w:t>Baka przeciwko Węgrom</w:t>
        </w:r>
      </w:hyperlink>
      <w:r>
        <w:t xml:space="preserve"> [WI], § 165). Kwestie związane z trójpodziałem władzy mogą obejmować bardzo ważne zagadnienia w społeczeństwie demokratycznym, w uzyskaniu informacji o których społeczeństwo ma uprawniony interes i które wchodzą w zakres debaty politycznej (</w:t>
      </w:r>
      <w:hyperlink r:id="rId109" w:history="1">
        <w:r>
          <w:rPr>
            <w:rStyle w:val="Hipercze"/>
            <w:i/>
            <w:iCs/>
          </w:rPr>
          <w:t>Baka przeciwko Węgrom</w:t>
        </w:r>
      </w:hyperlink>
      <w:r>
        <w:t xml:space="preserve"> [WI], § 165). Tym niemniej nawet jeżeli kwestia, której dotyczy debata, ma implikacje polityczne, nie jest to wystarczającym powodem ku temu, aby zabraniać sędziemu wypowiadania się w danej sprawie (</w:t>
      </w:r>
      <w:hyperlink r:id="rId110" w:history="1">
        <w:r>
          <w:rPr>
            <w:rStyle w:val="Hipercze"/>
            <w:i/>
            <w:iCs/>
          </w:rPr>
          <w:t>Baka przeciwko Węgrom</w:t>
        </w:r>
      </w:hyperlink>
      <w:r>
        <w:t xml:space="preserve"> [WI], § 165; </w:t>
      </w:r>
      <w:hyperlink r:id="rId111" w:history="1">
        <w:r>
          <w:rPr>
            <w:rStyle w:val="Hipercze"/>
            <w:i/>
            <w:iCs/>
          </w:rPr>
          <w:t>Wille przeciwko Liechtensteinowi</w:t>
        </w:r>
      </w:hyperlink>
      <w:r>
        <w:t xml:space="preserve"> [WI], § 67). </w:t>
      </w:r>
    </w:p>
    <w:p w:rsidR="00BC2D38" w:rsidRPr="00802736" w:rsidRDefault="00BC2D38" w:rsidP="00C2389D">
      <w:pPr>
        <w:pStyle w:val="ECHRBullet1"/>
        <w:rPr>
          <w:rFonts w:cs="Times New Roman"/>
        </w:rPr>
      </w:pPr>
      <w:r>
        <w:t>Na potrzeby oceny proporcjonalności Trybunał musi uwzględnić okoliczności i ogólny kontekst, w którym padły dane wypowiedzi. Musi przyjrzeć się zaskarżonej ingerencji w świetle całokształtu sprawy, zwracając szczególną uwagę na stanowisko zajmowane przez skarżącego, jego wypowiedzi i kontekst, w jakim padły, oraz reakcji na nie (</w:t>
      </w:r>
      <w:hyperlink r:id="rId112" w:history="1">
        <w:r>
          <w:rPr>
            <w:rStyle w:val="Hipercze"/>
            <w:i/>
            <w:iCs/>
          </w:rPr>
          <w:t>Baka przeciwko Węgrom</w:t>
        </w:r>
      </w:hyperlink>
      <w:r>
        <w:t xml:space="preserve"> [WI], § 166; </w:t>
      </w:r>
      <w:hyperlink r:id="rId113" w:history="1">
        <w:r>
          <w:rPr>
            <w:rStyle w:val="Hipercze"/>
            <w:i/>
            <w:iCs/>
          </w:rPr>
          <w:t>Wille przeciwko Liechtensteinowi</w:t>
        </w:r>
      </w:hyperlink>
      <w:r>
        <w:t xml:space="preserve"> [WI], § 63). Trybunał, dokonując oceny proporcjonalności ingerencji w prawo do wolności wyrażania opinii gwarantowane art. 10, uwzględnia również rzetelność postępowania i gwarancje proceduralne przysługujące skarżącemu (</w:t>
      </w:r>
      <w:hyperlink r:id="rId114" w:history="1">
        <w:r>
          <w:rPr>
            <w:rStyle w:val="Hipercze"/>
            <w:i/>
            <w:iCs/>
          </w:rPr>
          <w:t>Baka przeciwko Węgrom</w:t>
        </w:r>
      </w:hyperlink>
      <w:r>
        <w:t xml:space="preserve"> [WI], §§ 161, 174).</w:t>
      </w:r>
    </w:p>
    <w:p w:rsidR="00BC2D38" w:rsidRPr="00593BF0" w:rsidRDefault="00BC2D38" w:rsidP="007D3F2F">
      <w:pPr>
        <w:pStyle w:val="ECHRBullet1"/>
        <w:rPr>
          <w:rFonts w:cs="Times New Roman"/>
        </w:rPr>
      </w:pPr>
      <w:r>
        <w:t>Nałożenie sankcji karnej na urzędnika należącego do krajowych służb prawnych powodowałoby ze względu na swój charakter w sposób nieunikniony tzw. efekt mrożący nie tylko dla zawodu jako takiego (</w:t>
      </w:r>
      <w:hyperlink r:id="rId115" w:history="1">
        <w:r>
          <w:rPr>
            <w:rStyle w:val="Hipercze"/>
            <w:i/>
            <w:iCs/>
            <w:snapToGrid w:val="0"/>
          </w:rPr>
          <w:t>Kayasu przeciwko Turcji</w:t>
        </w:r>
      </w:hyperlink>
      <w:r>
        <w:rPr>
          <w:snapToGrid w:val="0"/>
        </w:rPr>
        <w:t xml:space="preserve">, § </w:t>
      </w:r>
      <w:r>
        <w:t>106), ale w szczególności dla innych sędziów chcących uczestniczyć w debacie publicznej poświęconej wymiarowi sprawiedliwości i sądownictwu (</w:t>
      </w:r>
      <w:hyperlink r:id="rId116" w:history="1">
        <w:r>
          <w:rPr>
            <w:rStyle w:val="Hipercze"/>
            <w:i/>
            <w:iCs/>
          </w:rPr>
          <w:t>Baka przeciwko Węgrom</w:t>
        </w:r>
      </w:hyperlink>
      <w:r>
        <w:t xml:space="preserve"> [WI], § 167; </w:t>
      </w:r>
      <w:hyperlink r:id="rId117" w:history="1">
        <w:r>
          <w:rPr>
            <w:rStyle w:val="Hipercze"/>
            <w:i/>
            <w:iCs/>
          </w:rPr>
          <w:t>Kudeshkina przeciwko Rosji</w:t>
        </w:r>
      </w:hyperlink>
      <w:r>
        <w:t>, §§ 99–100). Efekt ten, który działa na szkodę społeczeństwa jako całości, jest również czynnikiem dotyczącym proporcjonalności sankcji lub nałożonego środka karnego (</w:t>
      </w:r>
      <w:hyperlink r:id="rId118" w:history="1">
        <w:r>
          <w:rPr>
            <w:rStyle w:val="Hipercze"/>
            <w:i/>
            <w:iCs/>
          </w:rPr>
          <w:t>Baka przeciwko Węgrom</w:t>
        </w:r>
      </w:hyperlink>
      <w:r>
        <w:t xml:space="preserve"> [WI], § 167; </w:t>
      </w:r>
      <w:hyperlink r:id="rId119" w:history="1">
        <w:r>
          <w:rPr>
            <w:rStyle w:val="Hipercze"/>
            <w:i/>
            <w:iCs/>
          </w:rPr>
          <w:t>Kudeshkina przeciwko Rosji</w:t>
        </w:r>
      </w:hyperlink>
      <w:r>
        <w:t xml:space="preserve">, §§ 99–100). </w:t>
      </w:r>
      <w:r>
        <w:lastRenderedPageBreak/>
        <w:t>Przykładowo Trybunał rozpatrywał sprawy, w których sędziowie byli karani za krytykę sądownictwa (</w:t>
      </w:r>
      <w:hyperlink r:id="rId120" w:history="1">
        <w:r>
          <w:rPr>
            <w:rStyle w:val="Hipercze"/>
            <w:i/>
            <w:iCs/>
          </w:rPr>
          <w:t>Kudeshkina przeciwko Rosji</w:t>
        </w:r>
      </w:hyperlink>
      <w:r>
        <w:t>), komentarze na temat reform sądownictwa (</w:t>
      </w:r>
      <w:hyperlink r:id="rId121" w:history="1">
        <w:r>
          <w:rPr>
            <w:rStyle w:val="Hipercze"/>
            <w:i/>
            <w:iCs/>
          </w:rPr>
          <w:t>Baka przeciwko Węgrom</w:t>
        </w:r>
      </w:hyperlink>
      <w:r>
        <w:rPr>
          <w:i/>
          <w:iCs/>
        </w:rPr>
        <w:t xml:space="preserve"> </w:t>
      </w:r>
      <w:r>
        <w:t>[WI]) lub uwagi poczynione podczas publicznego wykładu o wykładni konstytucji (</w:t>
      </w:r>
      <w:hyperlink r:id="rId122" w:history="1">
        <w:r>
          <w:rPr>
            <w:rStyle w:val="Hipercze"/>
            <w:i/>
            <w:iCs/>
          </w:rPr>
          <w:t>Wille przeciwko Liechtensteinowi</w:t>
        </w:r>
      </w:hyperlink>
      <w:r>
        <w:t xml:space="preserve"> [WI]). W tym kontekście sankcje dyscyplinarne lub odwołania miały tzw. efekt mrożący w odniesieniu do wolności wyrażania opinii i prawdopodobne było, że zniechęcą skarżących i innych sędziów do wypowiadania się w przyszłości lub uczestnictwa w debacie publicznej ze strachu przed utratą stanowiska sędziowskiego (</w:t>
      </w:r>
      <w:hyperlink r:id="rId123" w:history="1">
        <w:r>
          <w:rPr>
            <w:rStyle w:val="Hipercze"/>
            <w:i/>
            <w:iCs/>
          </w:rPr>
          <w:t>Wille przeciwko Liechtensteinowi</w:t>
        </w:r>
      </w:hyperlink>
      <w:r>
        <w:t xml:space="preserve"> [WI], § 50; </w:t>
      </w:r>
      <w:hyperlink r:id="rId124" w:history="1">
        <w:r>
          <w:rPr>
            <w:rStyle w:val="Hipercze"/>
            <w:i/>
            <w:iCs/>
          </w:rPr>
          <w:t>Kudeshkina przeciwko Rosji</w:t>
        </w:r>
      </w:hyperlink>
      <w:r>
        <w:t xml:space="preserve">, </w:t>
      </w:r>
      <w:r>
        <w:rPr>
          <w:snapToGrid w:val="0"/>
        </w:rPr>
        <w:t xml:space="preserve">§ </w:t>
      </w:r>
      <w:r>
        <w:t xml:space="preserve">98; </w:t>
      </w:r>
      <w:hyperlink r:id="rId125" w:history="1">
        <w:r>
          <w:rPr>
            <w:rStyle w:val="Hipercze"/>
            <w:i/>
            <w:iCs/>
          </w:rPr>
          <w:t>Baka przeciwko Węgrom</w:t>
        </w:r>
      </w:hyperlink>
      <w:r>
        <w:rPr>
          <w:i/>
          <w:iCs/>
        </w:rPr>
        <w:t xml:space="preserve"> </w:t>
      </w:r>
      <w:r>
        <w:t>[WI], § 173).</w:t>
      </w:r>
    </w:p>
    <w:p w:rsidR="00BC2D38" w:rsidRDefault="00BC2D38" w:rsidP="00F201AD">
      <w:pPr>
        <w:pStyle w:val="ECHRParaSpaced"/>
      </w:pPr>
    </w:p>
    <w:p w:rsidR="00BC2D38" w:rsidRPr="001B1CB9" w:rsidRDefault="00BC2D38" w:rsidP="00F201AD">
      <w:pPr>
        <w:pStyle w:val="ECHRParaSpaced"/>
      </w:pPr>
      <w:r>
        <w:t>Trybunał rozpatrywał sprawy, w których skarżący został odwołany ze stanowiska lub objęty postępowaniem dyscyplinarnym z uwagi na opinie, które wyraził, lub swoje postępowanie.</w:t>
      </w:r>
    </w:p>
    <w:p w:rsidR="00BC2D38" w:rsidRPr="002D2791" w:rsidRDefault="00BC2D38" w:rsidP="00F201AD">
      <w:pPr>
        <w:pStyle w:val="ECHRParaSpaced"/>
        <w:rPr>
          <w:highlight w:val="yellow"/>
        </w:rPr>
      </w:pPr>
    </w:p>
    <w:p w:rsidR="00BC2D38" w:rsidRPr="002A022C" w:rsidRDefault="00BC2D38" w:rsidP="00E8537B">
      <w:pPr>
        <w:pStyle w:val="ECHRBullet1"/>
        <w:rPr>
          <w:rFonts w:cs="Times New Roman"/>
        </w:rPr>
      </w:pPr>
      <w:r>
        <w:t>W sprawach dotyczących postępowań dyscyplinarnych, odwołania lub powołania sędziów, Trybunał musi w pierwszej kolejności stwierdzić, czy zaskarżony środek stanowił ingerencję w wykonywanie prawa wolności wyrażania opinii przez skarżącego lub czy zaskarżony środek wpływał jedynie na wykonywanie prawa do zajmowania stanowiska publicznego w wymiarze sprawiedliwości, które nie jest zabezpieczone Konwencją. Aby odpowiedzieć na to pytanie, należy określić zakres środka, rozpatrując ów środek w kontekście okoliczności faktycznych sprawy oraz odpowiednich przepisów (</w:t>
      </w:r>
      <w:hyperlink r:id="rId126" w:history="1">
        <w:r>
          <w:rPr>
            <w:rStyle w:val="Hipercze"/>
            <w:i/>
            <w:iCs/>
          </w:rPr>
          <w:t>Baka przeciwko Węgrom</w:t>
        </w:r>
      </w:hyperlink>
      <w:r>
        <w:rPr>
          <w:i/>
          <w:iCs/>
        </w:rPr>
        <w:t xml:space="preserve"> </w:t>
      </w:r>
      <w:r>
        <w:t xml:space="preserve">[WI], 140; </w:t>
      </w:r>
      <w:hyperlink r:id="rId127" w:history="1">
        <w:r>
          <w:rPr>
            <w:rStyle w:val="Hipercze"/>
            <w:i/>
            <w:iCs/>
          </w:rPr>
          <w:t>Wille przeciwko Liechtensteinowi</w:t>
        </w:r>
      </w:hyperlink>
      <w:r>
        <w:t xml:space="preserve"> [WI], 42–43).</w:t>
      </w:r>
    </w:p>
    <w:p w:rsidR="00BC2D38" w:rsidRPr="002A022C" w:rsidRDefault="00BC2D38" w:rsidP="00E8537B">
      <w:pPr>
        <w:pStyle w:val="ECHRBullet1"/>
        <w:rPr>
          <w:rFonts w:cs="Times New Roman"/>
        </w:rPr>
      </w:pPr>
      <w:r>
        <w:t>W wielu sprawach Trybunał uznał, że zaskarżone środki dotyczyły wolności wyrażania opinii przez skarżącego, przykładowo gdy były one następstwem poglądów wyrażonych przez prezesa sądu administracyjnego w Liechtensteinie w trakcie publicznego wykładu (</w:t>
      </w:r>
      <w:hyperlink r:id="rId128" w:history="1">
        <w:r>
          <w:rPr>
            <w:rStyle w:val="Hipercze"/>
            <w:i/>
            <w:iCs/>
          </w:rPr>
          <w:t>Wille przeciwko Liechtensteinowi</w:t>
        </w:r>
      </w:hyperlink>
      <w:r>
        <w:t xml:space="preserve"> [WI], §§ 48–50), wypowiedziami sędziego w mediach (</w:t>
      </w:r>
      <w:hyperlink r:id="rId129" w:history="1">
        <w:r>
          <w:rPr>
            <w:rStyle w:val="Hipercze"/>
            <w:i/>
            <w:iCs/>
          </w:rPr>
          <w:t>Kudeshkina przeciwko Rosji</w:t>
        </w:r>
      </w:hyperlink>
      <w:r>
        <w:t>, § 79), informacjami przekazanymi mediom (</w:t>
      </w:r>
      <w:hyperlink r:id="rId130" w:history="1">
        <w:r>
          <w:rPr>
            <w:rStyle w:val="Hipercze"/>
            <w:i/>
            <w:iCs/>
          </w:rPr>
          <w:t>Kayasu przeciwko Turcji</w:t>
        </w:r>
      </w:hyperlink>
      <w:r>
        <w:rPr>
          <w:rStyle w:val="Hipercze"/>
          <w:color w:val="auto"/>
          <w:u w:val="none"/>
        </w:rPr>
        <w:t xml:space="preserve">, </w:t>
      </w:r>
      <w:r>
        <w:t xml:space="preserve">§ 80; </w:t>
      </w:r>
      <w:hyperlink r:id="rId131" w:history="1">
        <w:r>
          <w:rPr>
            <w:rStyle w:val="Hipercze"/>
            <w:i/>
            <w:iCs/>
          </w:rPr>
          <w:t>Brisc przeciwko Rumunii</w:t>
        </w:r>
      </w:hyperlink>
      <w:r>
        <w:t>, § 105), lub gdy sędzia otrzymał karę dyscyplinarną za czytanie gazety codziennej i oglądanie kanału telewizyjnego związanego z nielegalną organizacją zbrojną (</w:t>
      </w:r>
      <w:hyperlink r:id="rId132" w:history="1">
        <w:r>
          <w:rPr>
            <w:rStyle w:val="Hipercze"/>
            <w:i/>
            <w:iCs/>
          </w:rPr>
          <w:t>Albayrak przeciwko Turcji</w:t>
        </w:r>
      </w:hyperlink>
      <w:r>
        <w:t>, § 47).</w:t>
      </w:r>
    </w:p>
    <w:p w:rsidR="00BC2D38" w:rsidRPr="00063B7B" w:rsidRDefault="00BC2D38" w:rsidP="00BF65FD">
      <w:pPr>
        <w:pStyle w:val="ECHRBullet1"/>
        <w:numPr>
          <w:ilvl w:val="0"/>
          <w:numId w:val="0"/>
        </w:numPr>
        <w:ind w:left="1004"/>
        <w:rPr>
          <w:rFonts w:cs="Times New Roman"/>
        </w:rPr>
      </w:pPr>
      <w:r>
        <w:t>Przepisy krajowe mogą przewidywać nakładanie określonych obowiązków na sędziów jako gwarantów rządów prawa i umożliwiać ich odwoływanie w przypadku niedopełniania tych obowiązków z myślą o ochronie praw innych i utrzymaniu autorytetu i bezstronności sądownictwa (</w:t>
      </w:r>
      <w:hyperlink r:id="rId133" w:history="1">
        <w:r>
          <w:rPr>
            <w:rStyle w:val="Hipercze"/>
            <w:i/>
            <w:iCs/>
          </w:rPr>
          <w:t>Pitkevich przeciwko Rosji</w:t>
        </w:r>
      </w:hyperlink>
      <w:r>
        <w:t xml:space="preserve"> (dec.)). W tym względzie jednym z kluczowych czynników dla Trybunału przy ocenie konieczności środka zastosowanego przez władze jest to, czy zaskarżone postępowanie skarżącego miało znaczenie dla jego działalności jako sędziego, w szczególności podczas jednego z dotychczasowych, toczących się lub nadchodzących postępowań (</w:t>
      </w:r>
      <w:hyperlink r:id="rId134" w:history="1">
        <w:r>
          <w:rPr>
            <w:rStyle w:val="Hipercze"/>
            <w:i/>
            <w:iCs/>
          </w:rPr>
          <w:t>Wille przeciwko Liechtensteinowi</w:t>
        </w:r>
      </w:hyperlink>
      <w:r>
        <w:t xml:space="preserve"> [WI], </w:t>
      </w:r>
      <w:r>
        <w:rPr>
          <w:snapToGrid w:val="0"/>
        </w:rPr>
        <w:t xml:space="preserve">§ </w:t>
      </w:r>
      <w:r>
        <w:t xml:space="preserve">69; </w:t>
      </w:r>
      <w:hyperlink r:id="rId135" w:history="1">
        <w:r>
          <w:rPr>
            <w:rStyle w:val="Hipercze"/>
            <w:i/>
            <w:iCs/>
          </w:rPr>
          <w:t>Albayrak przeciwko Turcji</w:t>
        </w:r>
      </w:hyperlink>
      <w:r>
        <w:t>,</w:t>
      </w:r>
      <w:r>
        <w:rPr>
          <w:snapToGrid w:val="0"/>
        </w:rPr>
        <w:t xml:space="preserve"> §</w:t>
      </w:r>
      <w:r>
        <w:t xml:space="preserve"> 46). Trybunał orzekł, iż doszło do naruszenia art. 10, w sytuacji gdy opinia lub postępowanie skarżącego nie miało żadnego wpływu na wykonywanie obowiązków sędziowskich (</w:t>
      </w:r>
      <w:hyperlink r:id="rId136" w:history="1">
        <w:r>
          <w:rPr>
            <w:rStyle w:val="Hipercze"/>
            <w:i/>
            <w:iCs/>
          </w:rPr>
          <w:t>Wille przeciwko Liechtensteinowi</w:t>
        </w:r>
      </w:hyperlink>
      <w:r>
        <w:t xml:space="preserve"> [WI], </w:t>
      </w:r>
      <w:r>
        <w:rPr>
          <w:snapToGrid w:val="0"/>
        </w:rPr>
        <w:t xml:space="preserve">§ </w:t>
      </w:r>
      <w:r>
        <w:t xml:space="preserve">69; </w:t>
      </w:r>
      <w:hyperlink r:id="rId137" w:history="1">
        <w:r>
          <w:rPr>
            <w:rStyle w:val="Hipercze"/>
            <w:i/>
            <w:iCs/>
          </w:rPr>
          <w:t>Albayrak przeciwko Turcji</w:t>
        </w:r>
      </w:hyperlink>
      <w:r>
        <w:t>,</w:t>
      </w:r>
      <w:r>
        <w:rPr>
          <w:snapToGrid w:val="0"/>
        </w:rPr>
        <w:t xml:space="preserve"> §</w:t>
      </w:r>
      <w:r>
        <w:t xml:space="preserve"> 46) i gdy nie przedstawiono żadnych dowodów na wykazanie, że skarżący postępował w sposób, który kwestionowałby jego zdolność do bezstronnego rozpoznawania spraw (</w:t>
      </w:r>
      <w:hyperlink r:id="rId138" w:history="1">
        <w:r>
          <w:rPr>
            <w:rStyle w:val="Hipercze"/>
            <w:i/>
            <w:iCs/>
          </w:rPr>
          <w:t>Albayrak przeciwko Turcji</w:t>
        </w:r>
      </w:hyperlink>
      <w:r>
        <w:t>,</w:t>
      </w:r>
      <w:r>
        <w:rPr>
          <w:snapToGrid w:val="0"/>
        </w:rPr>
        <w:t xml:space="preserve"> §</w:t>
      </w:r>
      <w:r>
        <w:t xml:space="preserve"> 46). Porównaj z </w:t>
      </w:r>
      <w:hyperlink r:id="rId139" w:history="1">
        <w:r>
          <w:rPr>
            <w:rStyle w:val="Hipercze"/>
            <w:i/>
            <w:iCs/>
          </w:rPr>
          <w:t>Pitkevich przeciwko Rosji</w:t>
        </w:r>
      </w:hyperlink>
      <w:r>
        <w:t xml:space="preserve"> (dec.).</w:t>
      </w:r>
    </w:p>
    <w:p w:rsidR="00BC2D38" w:rsidRPr="00063B7B" w:rsidRDefault="00BC2D38" w:rsidP="00280F18">
      <w:pPr>
        <w:pStyle w:val="ECHRBullet1"/>
        <w:rPr>
          <w:rFonts w:cs="Times New Roman"/>
        </w:rPr>
      </w:pPr>
      <w:r>
        <w:t xml:space="preserve">W sprawie </w:t>
      </w:r>
      <w:hyperlink r:id="rId140" w:history="1">
        <w:r>
          <w:rPr>
            <w:rStyle w:val="Hipercze"/>
            <w:i/>
            <w:iCs/>
          </w:rPr>
          <w:t>Wille przeciwko Liechtensteinowi</w:t>
        </w:r>
      </w:hyperlink>
      <w:r>
        <w:t xml:space="preserve"> [WI] skarżący skomentował kompetencje trybunału konstytucyjnego podczas wykładu akademickiego jako prezes sądu administracyjnego. Książę nie zgodził się z jego komentarzami i powołując się również na wcześniejsze postępowanie skarżącego na stanowisku politycznym, odmówił ponownego powołania go na stanowisko prezesa sądu administracyjnego. Nie odwołano się do </w:t>
      </w:r>
      <w:r>
        <w:lastRenderedPageBreak/>
        <w:t>żadnego incydentu sugerującego, że pogląd skarżącego wyrażony podczas wspomnianego wykładu miał wpływ na jego działalność w roli prezesa sądu administracyjnego ani dowolne inne toczące się lub nadchodzące postępowanie. Trybunał orzekł, że nawet w świetle pewnego marginesu swobody działanie księcia zdaje się nieproporcjonalne względem celu, któremu ma służyć.</w:t>
      </w:r>
    </w:p>
    <w:p w:rsidR="00BC2D38" w:rsidRPr="00FA4D52" w:rsidRDefault="00BC2D38" w:rsidP="00063B7B">
      <w:pPr>
        <w:pStyle w:val="ECHRBullet1"/>
        <w:rPr>
          <w:rFonts w:cs="Times New Roman"/>
        </w:rPr>
      </w:pPr>
      <w:r>
        <w:t xml:space="preserve">W sprawie </w:t>
      </w:r>
      <w:hyperlink r:id="rId141" w:history="1">
        <w:r>
          <w:rPr>
            <w:rStyle w:val="Hipercze"/>
            <w:i/>
            <w:iCs/>
          </w:rPr>
          <w:t>Baka przeciwko Węgrom</w:t>
        </w:r>
      </w:hyperlink>
      <w:r>
        <w:t xml:space="preserve"> [WI] przedterminowe wygaszenie kadencji skarżącego na stanowisku prezesa sądu najwyższego nie wynikało z braku kompetencji zawodowych czy przewinienia dyscyplinarnego, ale z publicznych wypowiedzi krytycznych względem reform ustawodawczych wpływających na sądownictwo (§§ 170–175). Trybunał uznał, że wyrażenie własnej opinii na temat reform ustawodawczych wpływających na sądownictwo było nie tylko prawem, ale i obowiązkiem skarżącego jako prezesa krajowej rady sądownictwa. Skarżący wyraził swoje opinie krytyczne wobec reform konstytucyjnych i ustawodawczych wpływających na sądownictwo w kwestiach związanych z funkcjonowaniem i reformą wymiaru sprawiedliwości, niezawisłością i nieusuwalnością sędziów oraz obniżaniem wieku emerytalnego sędziów, a więc zagadnień leżących w interesie publicznym. Jego wypowiedzi nie wykraczały poza krytykę wyrażoną z czysto zawodowej perspektywy (</w:t>
      </w:r>
      <w:hyperlink r:id="rId142" w:history="1">
        <w:hyperlink r:id="rId143" w:history="1">
          <w:r>
            <w:rPr>
              <w:rStyle w:val="Hipercze"/>
              <w:i/>
              <w:iCs/>
            </w:rPr>
            <w:t>Baka przeciwko Węgrom</w:t>
          </w:r>
        </w:hyperlink>
        <w:r>
          <w:t xml:space="preserve"> [WI], </w:t>
        </w:r>
      </w:hyperlink>
      <w:r>
        <w:t>§ 171). Mając na uwadze przedterminowe usunięcie ze stanowiska i brak skutecznych i adekwatnych gwarancji procesowych przed nadużyciami, ingerencji nie uznano za „konieczną w demokratycznym społeczeństwie” (</w:t>
      </w:r>
      <w:hyperlink r:id="rId144" w:history="1">
        <w:hyperlink r:id="rId145" w:history="1">
          <w:r>
            <w:rPr>
              <w:rStyle w:val="Hipercze"/>
              <w:i/>
              <w:iCs/>
            </w:rPr>
            <w:t>Baka przeciwko Węgrom</w:t>
          </w:r>
        </w:hyperlink>
        <w:r>
          <w:t xml:space="preserve"> [WI], </w:t>
        </w:r>
      </w:hyperlink>
      <w:r>
        <w:t>§§ 172–175).</w:t>
      </w:r>
    </w:p>
    <w:p w:rsidR="00BC2D38" w:rsidRPr="00802736" w:rsidRDefault="00BC2D38" w:rsidP="00C2389D">
      <w:pPr>
        <w:pStyle w:val="ECHRHeading3"/>
        <w:rPr>
          <w:rFonts w:cs="Times New Roman"/>
        </w:rPr>
      </w:pPr>
      <w:bookmarkStart w:id="20" w:name="_Toc5712747"/>
      <w:r>
        <w:t>Obowiązek powściągliwości i dyskrecji</w:t>
      </w:r>
      <w:bookmarkEnd w:id="20"/>
    </w:p>
    <w:p w:rsidR="00BC2D38" w:rsidRDefault="00BC2D38" w:rsidP="00F201AD">
      <w:pPr>
        <w:pStyle w:val="ECHRParaSpaced"/>
        <w:rPr>
          <w:snapToGrid w:val="0"/>
        </w:rPr>
      </w:pPr>
      <w:r>
        <w:t>Szczególne zadanie, jakie sądownictwo pełni w społeczeństwie, wymaga od sędziów i prokuratorów jako osób, którym powierzono obowiązki publiczne, przestrzegania zasady dyskrecji i powściągliwości (</w:t>
      </w:r>
      <w:hyperlink r:id="rId146" w:history="1">
        <w:r>
          <w:rPr>
            <w:rStyle w:val="Hipercze"/>
            <w:i/>
            <w:iCs/>
          </w:rPr>
          <w:t>Wille przeciwko Liechtensteinowi</w:t>
        </w:r>
      </w:hyperlink>
      <w:r>
        <w:t xml:space="preserve"> [WI], § 64; </w:t>
      </w:r>
      <w:hyperlink r:id="rId147" w:history="1">
        <w:r>
          <w:rPr>
            <w:rStyle w:val="Hipercze"/>
            <w:i/>
            <w:iCs/>
          </w:rPr>
          <w:t>Baka przeciwko Węgrom</w:t>
        </w:r>
      </w:hyperlink>
      <w:r>
        <w:t xml:space="preserve"> [WI], </w:t>
      </w:r>
      <w:r>
        <w:rPr>
          <w:snapToGrid w:val="0"/>
        </w:rPr>
        <w:t xml:space="preserve">§ 164; </w:t>
      </w:r>
      <w:hyperlink r:id="rId148" w:history="1">
        <w:r>
          <w:rPr>
            <w:rStyle w:val="Hipercze"/>
            <w:i/>
            <w:iCs/>
            <w:snapToGrid w:val="0"/>
          </w:rPr>
          <w:t>Kayasu przeciwko Turcji</w:t>
        </w:r>
      </w:hyperlink>
      <w:r>
        <w:rPr>
          <w:snapToGrid w:val="0"/>
        </w:rPr>
        <w:t xml:space="preserve">, §§ </w:t>
      </w:r>
      <w:r>
        <w:t xml:space="preserve">91–92; </w:t>
      </w:r>
      <w:hyperlink r:id="rId149" w:history="1">
        <w:r>
          <w:rPr>
            <w:rStyle w:val="Hipercze"/>
            <w:i/>
            <w:iCs/>
          </w:rPr>
          <w:t>Poyraz przeciwko Turcji</w:t>
        </w:r>
      </w:hyperlink>
      <w:r>
        <w:t xml:space="preserve">, </w:t>
      </w:r>
      <w:r>
        <w:rPr>
          <w:snapToGrid w:val="0"/>
        </w:rPr>
        <w:t xml:space="preserve">§ </w:t>
      </w:r>
      <w:r>
        <w:t xml:space="preserve">76). Obowiązek ten jest istotny w odniesieniu do uwag sędziów dotyczących – przykładowo – toczących się postępowań sądowych lub przygotowawczych (zob. </w:t>
      </w:r>
      <w:hyperlink r:id="rId150" w:history="1">
        <w:r>
          <w:rPr>
            <w:rStyle w:val="Hipercze"/>
            <w:i/>
            <w:iCs/>
          </w:rPr>
          <w:t>Lavents przeciwko Łotwie</w:t>
        </w:r>
      </w:hyperlink>
      <w:r>
        <w:rPr>
          <w:rStyle w:val="Hipercze"/>
          <w:color w:val="auto"/>
          <w:u w:val="none"/>
        </w:rPr>
        <w:t xml:space="preserve"> oraz </w:t>
      </w:r>
      <w:hyperlink r:id="rId151" w:history="1">
        <w:r>
          <w:rPr>
            <w:rStyle w:val="Hipercze"/>
            <w:i/>
            <w:iCs/>
          </w:rPr>
          <w:t>Brisc przeciwko Rumunii</w:t>
        </w:r>
      </w:hyperlink>
      <w:r>
        <w:t>,</w:t>
      </w:r>
      <w:r>
        <w:rPr>
          <w:i/>
          <w:iCs/>
        </w:rPr>
        <w:t xml:space="preserve"> </w:t>
      </w:r>
      <w:r>
        <w:rPr>
          <w:snapToGrid w:val="0"/>
        </w:rPr>
        <w:t xml:space="preserve">§ </w:t>
      </w:r>
      <w:r>
        <w:t>104</w:t>
      </w:r>
      <w:r>
        <w:rPr>
          <w:snapToGrid w:val="0"/>
        </w:rPr>
        <w:t>)</w:t>
      </w:r>
      <w:r>
        <w:t xml:space="preserve">, reform sądownictwa (zob. </w:t>
      </w:r>
      <w:hyperlink r:id="rId152" w:history="1">
        <w:r>
          <w:rPr>
            <w:rStyle w:val="Hipercze"/>
            <w:i/>
            <w:iCs/>
          </w:rPr>
          <w:t>Baka przeciwko Węgrom</w:t>
        </w:r>
      </w:hyperlink>
      <w:r>
        <w:t xml:space="preserve"> [WI], </w:t>
      </w:r>
      <w:r>
        <w:rPr>
          <w:snapToGrid w:val="0"/>
        </w:rPr>
        <w:t>§ </w:t>
      </w:r>
      <w:r>
        <w:t xml:space="preserve">145) lub innych sędziów (zob. </w:t>
      </w:r>
      <w:hyperlink r:id="rId153" w:history="1">
        <w:r>
          <w:rPr>
            <w:rStyle w:val="Hipercze"/>
            <w:i/>
            <w:iCs/>
          </w:rPr>
          <w:t>Di Giovanni</w:t>
        </w:r>
        <w:r>
          <w:rPr>
            <w:rStyle w:val="Hipercze"/>
            <w:snapToGrid w:val="0"/>
          </w:rPr>
          <w:t xml:space="preserve"> </w:t>
        </w:r>
        <w:r>
          <w:rPr>
            <w:rStyle w:val="Hipercze"/>
            <w:i/>
            <w:iCs/>
          </w:rPr>
          <w:t>przeciwko Włochom</w:t>
        </w:r>
      </w:hyperlink>
      <w:r>
        <w:rPr>
          <w:snapToGrid w:val="0"/>
        </w:rPr>
        <w:t>, § 81).</w:t>
      </w:r>
    </w:p>
    <w:p w:rsidR="00BC2D38" w:rsidRDefault="00BC2D38" w:rsidP="00C2389D">
      <w:pPr>
        <w:pStyle w:val="ECHRBullet1"/>
      </w:pPr>
      <w:r>
        <w:t>Władza sądownicza, jako gwarant sprawiedliwości będącej fundamentalną wartością w państwie prawa, musi cieszyć się zaufaniem publicznym, jeżeli ma z powodzeniem realizować swoje zadania (</w:t>
      </w:r>
      <w:hyperlink r:id="rId154" w:history="1">
        <w:r>
          <w:rPr>
            <w:rStyle w:val="Hipercze"/>
            <w:i/>
            <w:iCs/>
          </w:rPr>
          <w:t>Baka przeciwko Węgrom</w:t>
        </w:r>
      </w:hyperlink>
      <w:r>
        <w:t xml:space="preserve"> [WI], </w:t>
      </w:r>
      <w:r>
        <w:rPr>
          <w:snapToGrid w:val="0"/>
        </w:rPr>
        <w:t xml:space="preserve">§ 164; </w:t>
      </w:r>
      <w:hyperlink r:id="rId155" w:history="1">
        <w:r>
          <w:rPr>
            <w:rStyle w:val="Hipercze"/>
            <w:i/>
            <w:iCs/>
          </w:rPr>
          <w:t>Kudeshkina przeciwko Rosji</w:t>
        </w:r>
      </w:hyperlink>
      <w:r>
        <w:t xml:space="preserve">, </w:t>
      </w:r>
      <w:r>
        <w:rPr>
          <w:snapToGrid w:val="0"/>
        </w:rPr>
        <w:t xml:space="preserve">§ </w:t>
      </w:r>
      <w:r>
        <w:t xml:space="preserve">86; </w:t>
      </w:r>
      <w:hyperlink r:id="rId156" w:history="1">
        <w:r>
          <w:rPr>
            <w:rStyle w:val="Hipercze"/>
            <w:i/>
            <w:iCs/>
          </w:rPr>
          <w:t>Di Giovanni</w:t>
        </w:r>
        <w:r>
          <w:rPr>
            <w:rStyle w:val="Hipercze"/>
            <w:snapToGrid w:val="0"/>
          </w:rPr>
          <w:t xml:space="preserve"> </w:t>
        </w:r>
        <w:r>
          <w:rPr>
            <w:rStyle w:val="Hipercze"/>
            <w:i/>
            <w:iCs/>
          </w:rPr>
          <w:t>przeciwko Włochom</w:t>
        </w:r>
      </w:hyperlink>
      <w:r>
        <w:rPr>
          <w:snapToGrid w:val="0"/>
        </w:rPr>
        <w:t>, § 71</w:t>
      </w:r>
      <w:r>
        <w:t>). Oznacza to zaufanie, które sądy funkcjonujące w demokratycznym społeczeństwie muszą wzbudzić – w przypadku postępowania karnego – w oskarżonym, ale również w szeroko rozumianej opinii publicznej (</w:t>
      </w:r>
      <w:hyperlink r:id="rId157" w:history="1">
        <w:r>
          <w:rPr>
            <w:rStyle w:val="Hipercze"/>
            <w:i/>
            <w:iCs/>
          </w:rPr>
          <w:t>Baka przeciwko Węgrom</w:t>
        </w:r>
      </w:hyperlink>
      <w:r>
        <w:t xml:space="preserve"> [WI], </w:t>
      </w:r>
      <w:r>
        <w:rPr>
          <w:snapToGrid w:val="0"/>
        </w:rPr>
        <w:t xml:space="preserve">§ 164; </w:t>
      </w:r>
      <w:hyperlink r:id="rId158" w:history="1">
        <w:r>
          <w:rPr>
            <w:rStyle w:val="Hipercze"/>
            <w:i/>
            <w:iCs/>
          </w:rPr>
          <w:t>Kudeshkina przeciwko Rosji</w:t>
        </w:r>
      </w:hyperlink>
      <w:r>
        <w:t xml:space="preserve">, </w:t>
      </w:r>
      <w:r>
        <w:rPr>
          <w:snapToGrid w:val="0"/>
        </w:rPr>
        <w:t xml:space="preserve">§ </w:t>
      </w:r>
      <w:r>
        <w:t xml:space="preserve">86; </w:t>
      </w:r>
      <w:hyperlink r:id="rId159" w:history="1">
        <w:r>
          <w:rPr>
            <w:rStyle w:val="Hipercze"/>
            <w:i/>
            <w:iCs/>
          </w:rPr>
          <w:t>Di Giovanni</w:t>
        </w:r>
        <w:r>
          <w:rPr>
            <w:rStyle w:val="Hipercze"/>
            <w:snapToGrid w:val="0"/>
          </w:rPr>
          <w:t xml:space="preserve"> </w:t>
        </w:r>
        <w:r>
          <w:rPr>
            <w:rStyle w:val="Hipercze"/>
            <w:i/>
            <w:iCs/>
          </w:rPr>
          <w:t>przeciwko Włochom</w:t>
        </w:r>
      </w:hyperlink>
      <w:r>
        <w:rPr>
          <w:snapToGrid w:val="0"/>
        </w:rPr>
        <w:t xml:space="preserve">, § 71). </w:t>
      </w:r>
      <w:r>
        <w:t>Z tego względu Trybunał uznał za obowiązek urzędników publicznych pełniących służbę w sądownictwie wykazywanie powściągliwości w korzystaniu z wolności wyrażania opinii we wszystkich przypadkach, w których prawdopodobne może być zakwestionowanie autorytetu i bezstronności sądownictwa (</w:t>
      </w:r>
      <w:hyperlink r:id="rId160" w:history="1">
        <w:r>
          <w:rPr>
            <w:rStyle w:val="Hipercze"/>
            <w:i/>
            <w:iCs/>
          </w:rPr>
          <w:t>Wille przeciwko Liechtensteinowi</w:t>
        </w:r>
      </w:hyperlink>
      <w:r>
        <w:t xml:space="preserve"> [WI], § 64; </w:t>
      </w:r>
      <w:hyperlink r:id="rId161" w:history="1">
        <w:r>
          <w:rPr>
            <w:rStyle w:val="Hipercze"/>
            <w:i/>
            <w:iCs/>
          </w:rPr>
          <w:t>Baka przeciwko Węgrom</w:t>
        </w:r>
      </w:hyperlink>
      <w:r>
        <w:t xml:space="preserve"> [WI], </w:t>
      </w:r>
      <w:r>
        <w:rPr>
          <w:snapToGrid w:val="0"/>
        </w:rPr>
        <w:t xml:space="preserve">§ 164; </w:t>
      </w:r>
      <w:hyperlink r:id="rId162" w:history="1">
        <w:r>
          <w:rPr>
            <w:rStyle w:val="Hipercze"/>
            <w:i/>
            <w:iCs/>
            <w:snapToGrid w:val="0"/>
          </w:rPr>
          <w:t>Kayasu przeciwko Turcji</w:t>
        </w:r>
      </w:hyperlink>
      <w:r>
        <w:rPr>
          <w:snapToGrid w:val="0"/>
        </w:rPr>
        <w:t xml:space="preserve">, § 92; </w:t>
      </w:r>
      <w:hyperlink r:id="rId163" w:history="1">
        <w:r>
          <w:rPr>
            <w:rStyle w:val="Hipercze"/>
            <w:i/>
            <w:iCs/>
          </w:rPr>
          <w:t>Di Giovanni</w:t>
        </w:r>
        <w:r>
          <w:rPr>
            <w:rStyle w:val="Hipercze"/>
            <w:snapToGrid w:val="0"/>
          </w:rPr>
          <w:t xml:space="preserve"> </w:t>
        </w:r>
        <w:r>
          <w:rPr>
            <w:rStyle w:val="Hipercze"/>
            <w:i/>
            <w:iCs/>
          </w:rPr>
          <w:t>przeciwko Włochom</w:t>
        </w:r>
      </w:hyperlink>
      <w:r>
        <w:rPr>
          <w:snapToGrid w:val="0"/>
        </w:rPr>
        <w:t>, § 71</w:t>
      </w:r>
      <w:r>
        <w:t>).</w:t>
      </w:r>
    </w:p>
    <w:p w:rsidR="00BC2D38" w:rsidRPr="00802736" w:rsidRDefault="00BC2D38" w:rsidP="00C2389D">
      <w:pPr>
        <w:pStyle w:val="ECHRBullet1"/>
        <w:rPr>
          <w:rFonts w:cs="Times New Roman"/>
        </w:rPr>
      </w:pPr>
      <w:r>
        <w:t>Wypowiedzi sędziów, w przeciwieństwie do wypowiedzi adwokatów czy dziennikarzy, są odbierane jako wyraz obiektywnej oceny, która jest wiążąca nie tylko dla osoby, która ją wyraża, ale – poprzez tę osobę – dla całego wymiaru sprawiedliwości (</w:t>
      </w:r>
      <w:hyperlink r:id="rId164" w:history="1">
        <w:r>
          <w:rPr>
            <w:rStyle w:val="Hipercze"/>
            <w:i/>
            <w:iCs/>
          </w:rPr>
          <w:t>Morice przeciwko Francji</w:t>
        </w:r>
      </w:hyperlink>
      <w:r>
        <w:rPr>
          <w:i/>
          <w:iCs/>
        </w:rPr>
        <w:t xml:space="preserve"> </w:t>
      </w:r>
      <w:r>
        <w:t>[WI], § 168).</w:t>
      </w:r>
    </w:p>
    <w:p w:rsidR="00BC2D38" w:rsidRPr="00802736" w:rsidRDefault="00BC2D38" w:rsidP="00593BF0">
      <w:pPr>
        <w:pStyle w:val="ECHRBullet1"/>
        <w:rPr>
          <w:rFonts w:cs="Times New Roman"/>
        </w:rPr>
      </w:pPr>
      <w:r>
        <w:t>Obowiązek lojalności i dyskrecji wymaga, by rozpowszechnianie informacji, chociażby były prawdziwe, odbywało się z umiarem i z zachowaniem stosowności (</w:t>
      </w:r>
      <w:hyperlink r:id="rId165" w:history="1">
        <w:r>
          <w:rPr>
            <w:rStyle w:val="Hipercze"/>
            <w:i/>
            <w:iCs/>
          </w:rPr>
          <w:t>Kudeshkina przeciwko Rosji</w:t>
        </w:r>
      </w:hyperlink>
      <w:r>
        <w:t xml:space="preserve">, </w:t>
      </w:r>
      <w:r>
        <w:rPr>
          <w:snapToGrid w:val="0"/>
        </w:rPr>
        <w:t xml:space="preserve">§ </w:t>
      </w:r>
      <w:r>
        <w:t>93)</w:t>
      </w:r>
    </w:p>
    <w:p w:rsidR="00BC2D38" w:rsidRPr="00802736" w:rsidRDefault="00BC2D38" w:rsidP="00C2389D">
      <w:pPr>
        <w:pStyle w:val="ECHRBullet1"/>
        <w:rPr>
          <w:rFonts w:cs="Times New Roman"/>
        </w:rPr>
      </w:pPr>
      <w:r>
        <w:lastRenderedPageBreak/>
        <w:t xml:space="preserve">Fakt, iż sędziowie są objęci obowiązkiem dyskrecji, który uniemożliwia im reakcję, </w:t>
      </w:r>
      <w:r>
        <w:rPr>
          <w:snapToGrid w:val="0"/>
        </w:rPr>
        <w:t>sprawia, że konieczna jest ochrona sędziów przed destrukcyjnymi atakami, które są zasadniczo bezpodstawne (</w:t>
      </w:r>
      <w:hyperlink r:id="rId166" w:history="1">
        <w:r>
          <w:rPr>
            <w:rStyle w:val="Hipercze"/>
            <w:i/>
            <w:iCs/>
          </w:rPr>
          <w:t>Prager i Oberschlick przeciwko Austrii</w:t>
        </w:r>
      </w:hyperlink>
      <w:r>
        <w:t xml:space="preserve">, § 34; zob. sekcja poniżej </w:t>
      </w:r>
      <w:hyperlink w:anchor="defjud" w:history="1">
        <w:r>
          <w:rPr>
            <w:rStyle w:val="Hipercze"/>
          </w:rPr>
          <w:t>Zniesławienie sędziów i obraza sądu</w:t>
        </w:r>
      </w:hyperlink>
      <w:r>
        <w:t>).</w:t>
      </w:r>
    </w:p>
    <w:p w:rsidR="00BC2D38" w:rsidRDefault="00BC2D38" w:rsidP="00F201AD">
      <w:pPr>
        <w:pStyle w:val="ECHRParaSpaced"/>
      </w:pPr>
    </w:p>
    <w:p w:rsidR="00BC2D38" w:rsidRPr="00802736" w:rsidRDefault="00BC2D38" w:rsidP="00C2389D">
      <w:pPr>
        <w:pStyle w:val="ECHRHeading4"/>
        <w:ind w:firstLine="567"/>
        <w:rPr>
          <w:rFonts w:cs="Times New Roman"/>
        </w:rPr>
      </w:pPr>
      <w:bookmarkStart w:id="21" w:name="imptri"/>
      <w:r>
        <w:t>Prawa stron do bezstronnego sądu</w:t>
      </w:r>
    </w:p>
    <w:bookmarkEnd w:id="21"/>
    <w:p w:rsidR="00BC2D38" w:rsidRPr="00802736" w:rsidRDefault="00BC2D38" w:rsidP="00C2389D">
      <w:pPr>
        <w:pStyle w:val="ECHRBullet1"/>
        <w:rPr>
          <w:rFonts w:cs="Times New Roman"/>
        </w:rPr>
      </w:pPr>
      <w:r>
        <w:t>Nieprzestrzeganie przez sędziów obowiązku dyskrecji i powściągliwości może naruszać prawa skarżących do bezstronnego sądu zagwarantowane w art. 6 ust. 1.</w:t>
      </w:r>
    </w:p>
    <w:p w:rsidR="00BC2D38" w:rsidRPr="00802736" w:rsidRDefault="00BC2D38" w:rsidP="00C2389D">
      <w:pPr>
        <w:pStyle w:val="ECHRBullet1"/>
        <w:rPr>
          <w:rFonts w:cs="Times New Roman"/>
        </w:rPr>
      </w:pPr>
      <w:r>
        <w:t>Trybunał podkreślił przede wszystkim, że przedstawiciele sądownictwa mają obowiązek zachować maksymalną dyskrecję w odniesieniu do spraw, którymi się zajmują, aby zachować swój wizerunek sędziów bezstronnych (</w:t>
      </w:r>
      <w:hyperlink r:id="rId167" w:history="1">
        <w:r>
          <w:rPr>
            <w:rStyle w:val="Hipercze"/>
            <w:i/>
            <w:iCs/>
          </w:rPr>
          <w:t>Baka przeciwko Węgrom</w:t>
        </w:r>
      </w:hyperlink>
      <w:r>
        <w:t xml:space="preserve"> [WI], </w:t>
      </w:r>
      <w:r>
        <w:rPr>
          <w:snapToGrid w:val="0"/>
        </w:rPr>
        <w:t>§ 164</w:t>
      </w:r>
      <w:r>
        <w:t>). Dyskrecja ta powinna zniechęcać ich do wypowiedzi medialnych, nawet gdy są do tego prowokowani. Obowiązek ten wynika z wyższych potrzeb wymiaru sprawiedliwości oraz doniosłego charakteru urzędu sędziego (</w:t>
      </w:r>
      <w:hyperlink r:id="rId168" w:history="1">
        <w:r>
          <w:rPr>
            <w:rStyle w:val="Hipercze"/>
            <w:i/>
            <w:iCs/>
          </w:rPr>
          <w:t>Buscemi przeciwko Włochom</w:t>
        </w:r>
      </w:hyperlink>
      <w:r>
        <w:t xml:space="preserve">, </w:t>
      </w:r>
      <w:r>
        <w:rPr>
          <w:snapToGrid w:val="0"/>
        </w:rPr>
        <w:t xml:space="preserve">§ </w:t>
      </w:r>
      <w:r>
        <w:t xml:space="preserve">67; </w:t>
      </w:r>
      <w:hyperlink r:id="rId169" w:history="1">
        <w:r>
          <w:rPr>
            <w:rStyle w:val="Hipercze"/>
            <w:i/>
            <w:iCs/>
          </w:rPr>
          <w:t>Kayasu przeciwko Turcji</w:t>
        </w:r>
      </w:hyperlink>
      <w:r>
        <w:t xml:space="preserve">, </w:t>
      </w:r>
      <w:r>
        <w:rPr>
          <w:snapToGrid w:val="0"/>
        </w:rPr>
        <w:t xml:space="preserve">§ </w:t>
      </w:r>
      <w:r>
        <w:t xml:space="preserve">100; </w:t>
      </w:r>
      <w:hyperlink r:id="rId170" w:history="1">
        <w:r>
          <w:rPr>
            <w:rStyle w:val="Hipercze"/>
            <w:i/>
            <w:iCs/>
          </w:rPr>
          <w:t>Poyraz przeciwko Turcji</w:t>
        </w:r>
      </w:hyperlink>
      <w:r>
        <w:t xml:space="preserve">, </w:t>
      </w:r>
      <w:r>
        <w:rPr>
          <w:snapToGrid w:val="0"/>
        </w:rPr>
        <w:t xml:space="preserve">§ </w:t>
      </w:r>
      <w:r>
        <w:t xml:space="preserve">69; </w:t>
      </w:r>
      <w:hyperlink r:id="rId171" w:history="1">
        <w:r>
          <w:rPr>
            <w:rStyle w:val="Hipercze"/>
            <w:i/>
            <w:iCs/>
          </w:rPr>
          <w:t>Di Giovanni</w:t>
        </w:r>
        <w:r>
          <w:rPr>
            <w:rStyle w:val="Hipercze"/>
            <w:snapToGrid w:val="0"/>
          </w:rPr>
          <w:t xml:space="preserve"> </w:t>
        </w:r>
        <w:r>
          <w:rPr>
            <w:rStyle w:val="Hipercze"/>
            <w:i/>
            <w:iCs/>
          </w:rPr>
          <w:t>przeciwko Włochom</w:t>
        </w:r>
      </w:hyperlink>
      <w:r>
        <w:rPr>
          <w:snapToGrid w:val="0"/>
        </w:rPr>
        <w:t>, § 80</w:t>
      </w:r>
      <w:r>
        <w:t>).</w:t>
      </w:r>
    </w:p>
    <w:p w:rsidR="00BC2D38" w:rsidRPr="007C5722" w:rsidRDefault="00BC2D38" w:rsidP="00C2389D">
      <w:pPr>
        <w:pStyle w:val="ECHRBullet1"/>
        <w:rPr>
          <w:rFonts w:cs="Times New Roman"/>
        </w:rPr>
      </w:pPr>
      <w:r>
        <w:t>Opinia sędziego dotycząca moralnej postawy strony może uzasadniać postrzeganie sędziego jako stronniczego, chyba że opinia była konieczna do rozpoznania sprawy i uzasadnienia wyroku (</w:t>
      </w:r>
      <w:hyperlink r:id="rId172" w:history="1">
        <w:r>
          <w:rPr>
            <w:rStyle w:val="Hipercze"/>
            <w:i/>
            <w:iCs/>
          </w:rPr>
          <w:t>Pitkevich przeciwko Rosji</w:t>
        </w:r>
      </w:hyperlink>
      <w:r>
        <w:t xml:space="preserve"> (dec.)).</w:t>
      </w:r>
    </w:p>
    <w:p w:rsidR="00BC2D38" w:rsidRPr="00802736" w:rsidRDefault="00BC2D38" w:rsidP="004F14F0">
      <w:pPr>
        <w:pStyle w:val="ECHRBullet1"/>
        <w:rPr>
          <w:rFonts w:cs="Times New Roman"/>
        </w:rPr>
      </w:pPr>
      <w:r>
        <w:t xml:space="preserve">Trybunał stwierdził naruszenie art. 6 </w:t>
      </w:r>
      <w:r>
        <w:rPr>
          <w:snapToGrid w:val="0"/>
        </w:rPr>
        <w:t xml:space="preserve">ust. </w:t>
      </w:r>
      <w:r>
        <w:t>1 w przypadkach gdy wypowiedzi lub postępowanie sędziów zdawały się niespójne z bezstronnością wymaganą od sądu (</w:t>
      </w:r>
      <w:hyperlink r:id="rId173" w:history="1">
        <w:r>
          <w:rPr>
            <w:rStyle w:val="Hipercze"/>
            <w:i/>
            <w:iCs/>
          </w:rPr>
          <w:t>Buscemi przeciwko Włochom</w:t>
        </w:r>
      </w:hyperlink>
      <w:r>
        <w:t xml:space="preserve">, </w:t>
      </w:r>
      <w:r>
        <w:rPr>
          <w:snapToGrid w:val="0"/>
        </w:rPr>
        <w:t>§ </w:t>
      </w:r>
      <w:r>
        <w:t xml:space="preserve">68; </w:t>
      </w:r>
      <w:hyperlink r:id="rId174" w:history="1">
        <w:r>
          <w:rPr>
            <w:rStyle w:val="Hipercze"/>
            <w:i/>
            <w:iCs/>
          </w:rPr>
          <w:t>Lavents przeciwko Łotwie</w:t>
        </w:r>
      </w:hyperlink>
      <w:r>
        <w:t xml:space="preserve">, </w:t>
      </w:r>
      <w:r>
        <w:rPr>
          <w:snapToGrid w:val="0"/>
        </w:rPr>
        <w:t xml:space="preserve">§§ </w:t>
      </w:r>
      <w:r>
        <w:t xml:space="preserve">118–119). Przykładowo w sprawie </w:t>
      </w:r>
      <w:hyperlink r:id="rId175" w:history="1">
        <w:r>
          <w:rPr>
            <w:rStyle w:val="Hipercze"/>
            <w:i/>
            <w:iCs/>
          </w:rPr>
          <w:t>Kyprianou przeciwko Cyprowi</w:t>
        </w:r>
      </w:hyperlink>
      <w:r>
        <w:rPr>
          <w:i/>
          <w:iCs/>
        </w:rPr>
        <w:t xml:space="preserve"> </w:t>
      </w:r>
      <w:r>
        <w:t>[WI] Trybunał uznał, że emfatyczny język sędziów stosowany w całym postanowieniu wyrażał oburzenie i szok, co stoi w sprzeczności z zasadą dystansu, którego oczekuje się od orzeczeń sądowych (</w:t>
      </w:r>
      <w:r>
        <w:rPr>
          <w:snapToGrid w:val="0"/>
        </w:rPr>
        <w:t xml:space="preserve">§ </w:t>
      </w:r>
      <w:r>
        <w:t>130). Uwzględniając dodatkowe czynniki, Trybunał orzekł, iż wątpliwości skarżącego co do bezstronności sądu były uzasadnione (</w:t>
      </w:r>
      <w:r>
        <w:rPr>
          <w:snapToGrid w:val="0"/>
        </w:rPr>
        <w:t>§ </w:t>
      </w:r>
      <w:r>
        <w:t>133). Z kolei w innej sprawie Trybunał, zauważając, że byłoby lepiej, gdyby sędzia powstrzymał się całkowicie od wyrażania swoich poglądów w mediach, nie uznał jednak, że okazywał on wobec skarżących osobiste uprzedzenia (</w:t>
      </w:r>
      <w:hyperlink r:id="rId176" w:history="1">
        <w:r>
          <w:rPr>
            <w:rStyle w:val="Hipercze"/>
            <w:i/>
            <w:iCs/>
          </w:rPr>
          <w:t>Chim i Przywieczerski przeciwko Polsce</w:t>
        </w:r>
      </w:hyperlink>
      <w:r>
        <w:t>,</w:t>
      </w:r>
      <w:r>
        <w:rPr>
          <w:snapToGrid w:val="0"/>
        </w:rPr>
        <w:t xml:space="preserve"> §§ 165–166</w:t>
      </w:r>
      <w:r>
        <w:t>).</w:t>
      </w:r>
    </w:p>
    <w:p w:rsidR="00BC2D38" w:rsidRPr="00F201AD" w:rsidRDefault="00BC2D38" w:rsidP="00F201AD">
      <w:pPr>
        <w:pStyle w:val="ECHRParaSpaced"/>
      </w:pPr>
    </w:p>
    <w:p w:rsidR="00BC2D38" w:rsidRPr="00072FBB" w:rsidRDefault="00BC2D38" w:rsidP="00C2389D">
      <w:pPr>
        <w:pStyle w:val="ECHRHeading4"/>
        <w:ind w:firstLine="567"/>
        <w:rPr>
          <w:rFonts w:cs="Times New Roman"/>
        </w:rPr>
      </w:pPr>
      <w:bookmarkStart w:id="22" w:name="presum"/>
      <w:r>
        <w:t>Domniemanie niewinności</w:t>
      </w:r>
    </w:p>
    <w:bookmarkEnd w:id="22"/>
    <w:p w:rsidR="00BC2D38" w:rsidRPr="003A77AE" w:rsidRDefault="00BC2D38" w:rsidP="00072FBB">
      <w:pPr>
        <w:pStyle w:val="ECHRBullet1"/>
        <w:rPr>
          <w:rFonts w:cs="Times New Roman"/>
        </w:rPr>
      </w:pPr>
      <w:r>
        <w:t>Od organów sądowych oczekuje się również, że wykażą się dyskrecją i rozwagą konieczną przy informowaniu opinii publicznej o toczących się postępowaniach przygotowawczych w sprawach karnych (</w:t>
      </w:r>
      <w:hyperlink r:id="rId177" w:history="1">
        <w:r>
          <w:rPr>
            <w:rStyle w:val="Hipercze"/>
            <w:i/>
            <w:iCs/>
          </w:rPr>
          <w:t>Fatullayev przeciwko Azerbejdżanowi</w:t>
        </w:r>
      </w:hyperlink>
      <w:r>
        <w:t xml:space="preserve">, </w:t>
      </w:r>
      <w:r>
        <w:rPr>
          <w:snapToGrid w:val="0"/>
        </w:rPr>
        <w:t xml:space="preserve">§ 159). </w:t>
      </w:r>
      <w:r>
        <w:t xml:space="preserve">Jeżeli nie zostanie zachowana wymagana dyskrecja, uwagi sędziego lub prokuratora mogą naruszać zasadę domniemania niewinności gwarantowaną w art. 6 </w:t>
      </w:r>
      <w:r>
        <w:rPr>
          <w:snapToGrid w:val="0"/>
        </w:rPr>
        <w:t xml:space="preserve">ust. </w:t>
      </w:r>
      <w:r>
        <w:t>2 (</w:t>
      </w:r>
      <w:hyperlink r:id="rId178" w:history="1">
        <w:r>
          <w:rPr>
            <w:rStyle w:val="Hipercze"/>
            <w:i/>
            <w:iCs/>
          </w:rPr>
          <w:t>Lavents przeciwko Łotwie</w:t>
        </w:r>
      </w:hyperlink>
      <w:r>
        <w:t xml:space="preserve">, </w:t>
      </w:r>
      <w:r>
        <w:rPr>
          <w:snapToGrid w:val="0"/>
        </w:rPr>
        <w:t xml:space="preserve">§§ 126–127; </w:t>
      </w:r>
      <w:hyperlink r:id="rId179" w:history="1">
        <w:r>
          <w:rPr>
            <w:rStyle w:val="Hipercze"/>
            <w:i/>
            <w:iCs/>
          </w:rPr>
          <w:t>Slavov i Inni przeciwko Bułgarii</w:t>
        </w:r>
      </w:hyperlink>
      <w:r>
        <w:t>,</w:t>
      </w:r>
      <w:r>
        <w:rPr>
          <w:snapToGrid w:val="0"/>
        </w:rPr>
        <w:t xml:space="preserve"> §§ </w:t>
      </w:r>
      <w:r>
        <w:t xml:space="preserve">128–130; </w:t>
      </w:r>
      <w:hyperlink r:id="rId180" w:history="1">
        <w:r>
          <w:rPr>
            <w:rStyle w:val="Hipercze"/>
            <w:i/>
            <w:iCs/>
          </w:rPr>
          <w:t>Fatullayev przeciwko Azerbejdżanowi</w:t>
        </w:r>
      </w:hyperlink>
      <w:r>
        <w:t xml:space="preserve">, </w:t>
      </w:r>
      <w:r>
        <w:rPr>
          <w:snapToGrid w:val="0"/>
        </w:rPr>
        <w:t>§§ 159–162). Ma to zastosowanie również do rzeczników prasowych prokuratury krajowej, którzy mają obowiązek podejmować konieczne środki zapobiegawcze, by uniknąć nieporozumienia co do zakresu ich komentarza (</w:t>
      </w:r>
      <w:hyperlink r:id="rId181" w:history="1">
        <w:r>
          <w:rPr>
            <w:rStyle w:val="Hipercze"/>
            <w:i/>
            <w:iCs/>
          </w:rPr>
          <w:t>Maslarova przeciwko Bułgarii</w:t>
        </w:r>
      </w:hyperlink>
      <w:r>
        <w:t xml:space="preserve">, </w:t>
      </w:r>
      <w:r>
        <w:rPr>
          <w:snapToGrid w:val="0"/>
        </w:rPr>
        <w:t xml:space="preserve">§ </w:t>
      </w:r>
      <w:r>
        <w:t>42).</w:t>
      </w:r>
    </w:p>
    <w:p w:rsidR="00BC2D38" w:rsidRPr="00B71560" w:rsidRDefault="00BC2D38" w:rsidP="00072FBB">
      <w:pPr>
        <w:pStyle w:val="ECHRBullet1"/>
        <w:rPr>
          <w:rFonts w:cs="Times New Roman"/>
        </w:rPr>
      </w:pPr>
      <w:r>
        <w:rPr>
          <w:snapToGrid w:val="0"/>
        </w:rPr>
        <w:t>Trybunał podkreśla znaczenie doboru słów w wypowiedzianych padających przed osądzeniem osoby i uznaniem jej za winną przestępstwa (</w:t>
      </w:r>
      <w:hyperlink r:id="rId182" w:history="1">
        <w:r>
          <w:rPr>
            <w:rStyle w:val="Hipercze"/>
            <w:i/>
            <w:iCs/>
          </w:rPr>
          <w:t>Daktaras przeciwko Litwie</w:t>
        </w:r>
      </w:hyperlink>
      <w:r>
        <w:t xml:space="preserve">, </w:t>
      </w:r>
      <w:r>
        <w:rPr>
          <w:snapToGrid w:val="0"/>
        </w:rPr>
        <w:t xml:space="preserve">§ </w:t>
      </w:r>
      <w:r>
        <w:t>41</w:t>
      </w:r>
      <w:r>
        <w:rPr>
          <w:snapToGrid w:val="0"/>
        </w:rPr>
        <w:t xml:space="preserve">; </w:t>
      </w:r>
      <w:hyperlink r:id="rId183" w:history="1">
        <w:r>
          <w:rPr>
            <w:rStyle w:val="Hipercze"/>
            <w:i/>
            <w:iCs/>
          </w:rPr>
          <w:t>Slavov i Inni przeciwko Bułgarii</w:t>
        </w:r>
      </w:hyperlink>
      <w:r>
        <w:t xml:space="preserve">, </w:t>
      </w:r>
      <w:r>
        <w:rPr>
          <w:snapToGrid w:val="0"/>
        </w:rPr>
        <w:t xml:space="preserve">§ </w:t>
      </w:r>
      <w:r>
        <w:t>116). Znaczenie ma również kontekst i szczególne okoliczności, w których padły wypowiedzi (</w:t>
      </w:r>
      <w:hyperlink r:id="rId184" w:history="1">
        <w:r>
          <w:rPr>
            <w:rStyle w:val="Hipercze"/>
            <w:i/>
            <w:iCs/>
          </w:rPr>
          <w:t>Daktaras przeciwko Litwie</w:t>
        </w:r>
      </w:hyperlink>
      <w:r>
        <w:t xml:space="preserve">, </w:t>
      </w:r>
      <w:r>
        <w:rPr>
          <w:snapToGrid w:val="0"/>
        </w:rPr>
        <w:t xml:space="preserve">§ </w:t>
      </w:r>
      <w:r>
        <w:t xml:space="preserve">43), przykładowo gdy oświadczenia zawarte są w uzasadnionym postanowieniu, a nie padają podczas </w:t>
      </w:r>
      <w:r>
        <w:lastRenderedPageBreak/>
        <w:t>konferencji prasowej (</w:t>
      </w:r>
      <w:hyperlink r:id="rId185" w:history="1">
        <w:r>
          <w:rPr>
            <w:rStyle w:val="Hipercze"/>
            <w:i/>
            <w:iCs/>
          </w:rPr>
          <w:t>Daktaras przeciwko Litwie</w:t>
        </w:r>
      </w:hyperlink>
      <w:r>
        <w:t xml:space="preserve">, </w:t>
      </w:r>
      <w:r>
        <w:rPr>
          <w:snapToGrid w:val="0"/>
        </w:rPr>
        <w:t xml:space="preserve">§ </w:t>
      </w:r>
      <w:r>
        <w:t xml:space="preserve">44; </w:t>
      </w:r>
      <w:hyperlink r:id="rId186" w:history="1">
        <w:r>
          <w:rPr>
            <w:rStyle w:val="Hipercze"/>
            <w:i/>
            <w:iCs/>
          </w:rPr>
          <w:t>Butkevičius przeciwko Litwie</w:t>
        </w:r>
      </w:hyperlink>
      <w:r>
        <w:t>,</w:t>
      </w:r>
      <w:r>
        <w:rPr>
          <w:snapToGrid w:val="0"/>
        </w:rPr>
        <w:t xml:space="preserve"> §</w:t>
      </w:r>
      <w:r>
        <w:t xml:space="preserve"> 50). Zobacz również </w:t>
      </w:r>
      <w:hyperlink r:id="rId187" w:history="1">
        <w:r>
          <w:rPr>
            <w:rStyle w:val="Hipercze"/>
            <w:i/>
            <w:iCs/>
          </w:rPr>
          <w:t>Gutsanovi przeciwko Bułgarii</w:t>
        </w:r>
      </w:hyperlink>
      <w:r>
        <w:t xml:space="preserve">, </w:t>
      </w:r>
      <w:r>
        <w:rPr>
          <w:snapToGrid w:val="0"/>
        </w:rPr>
        <w:t xml:space="preserve">§§ </w:t>
      </w:r>
      <w:r>
        <w:t>197, 202–203).</w:t>
      </w:r>
    </w:p>
    <w:p w:rsidR="00BC2D38" w:rsidRDefault="00BC2D38" w:rsidP="00F201AD">
      <w:pPr>
        <w:pStyle w:val="ECHRParaSpaced"/>
      </w:pPr>
    </w:p>
    <w:p w:rsidR="00BC2D38" w:rsidRPr="00802736" w:rsidRDefault="00BC2D38" w:rsidP="00F60A6A">
      <w:pPr>
        <w:pStyle w:val="ECHRHeading2"/>
        <w:rPr>
          <w:rFonts w:cs="Times New Roman"/>
        </w:rPr>
      </w:pPr>
      <w:bookmarkStart w:id="23" w:name="_Toc5712748"/>
      <w:r>
        <w:t>Wypowiedzi wymierzone w sędziów (Zniesławienie sędziów i obraza sądu)</w:t>
      </w:r>
      <w:bookmarkEnd w:id="23"/>
    </w:p>
    <w:p w:rsidR="00BC2D38" w:rsidRPr="00802736" w:rsidRDefault="00BC2D38" w:rsidP="00B71560">
      <w:pPr>
        <w:pStyle w:val="ECHRBullet1"/>
        <w:rPr>
          <w:rFonts w:cs="Times New Roman"/>
        </w:rPr>
      </w:pPr>
      <w:r>
        <w:t>Jak zauważono w poprzedniej części, zaufanie publiczne względem sądownictwa jest kluczowe, aby mogło ono pełnić swoje zadania. Konieczna może być zatem ochrona tego rodzaju zaufania przed bardzo szkodliwymi atakami, które są zasadniczo nieuzasadnione, w szczególności z uwagi na fakt, iż na sędziach, którzy zostali skrytykowani, spoczywa obowiązek dyskrecji, który uniemożliwia im reakcję (</w:t>
      </w:r>
      <w:hyperlink r:id="rId188" w:history="1">
        <w:r>
          <w:rPr>
            <w:rStyle w:val="Hipercze"/>
            <w:i/>
            <w:iCs/>
          </w:rPr>
          <w:t>Morice przeciwko Francji</w:t>
        </w:r>
      </w:hyperlink>
      <w:r>
        <w:rPr>
          <w:i/>
          <w:iCs/>
        </w:rPr>
        <w:t xml:space="preserve"> </w:t>
      </w:r>
      <w:r>
        <w:t xml:space="preserve">[WI], § 128; </w:t>
      </w:r>
      <w:hyperlink r:id="rId189" w:history="1">
        <w:r>
          <w:rPr>
            <w:rStyle w:val="Hipercze"/>
            <w:i/>
            <w:iCs/>
          </w:rPr>
          <w:t>Prager i Oberschlick przeciwko Austrii</w:t>
        </w:r>
      </w:hyperlink>
      <w:r>
        <w:t>, § 34). Prokuratorzy, którzy stanowią element machiny sądowniczej w szerszym znaczeniu tego słowa i którzy również powinni cieszyć się zaufaniem publicznym, są chronieni przed bezpodstawnymi oskarżeniami w podobny sposób (</w:t>
      </w:r>
      <w:hyperlink r:id="rId190" w:history="1">
        <w:r>
          <w:rPr>
            <w:rStyle w:val="Hipercze"/>
            <w:i/>
            <w:iCs/>
          </w:rPr>
          <w:t>Lešník przeciwko Słowacji</w:t>
        </w:r>
      </w:hyperlink>
      <w:r>
        <w:t>,</w:t>
      </w:r>
      <w:r>
        <w:rPr>
          <w:i/>
          <w:iCs/>
        </w:rPr>
        <w:t xml:space="preserve"> </w:t>
      </w:r>
      <w:r>
        <w:t>§ 54).</w:t>
      </w:r>
    </w:p>
    <w:p w:rsidR="00BC2D38" w:rsidRPr="00802736" w:rsidRDefault="00BC2D38" w:rsidP="00B71560">
      <w:pPr>
        <w:pStyle w:val="ECHRBullet1"/>
        <w:rPr>
          <w:rFonts w:cs="Times New Roman"/>
        </w:rPr>
      </w:pPr>
      <w:r>
        <w:t>Tym niemniej ochrona ta nie może mieć skutku w postaci zniechęcenia jednostek do wyrażania swoich opinii poprzez osądy wartościujące o dostatecznej podstawie faktycznej w kwestiach leżących w interesie publicznym związanych z funkcjonowaniem wymiaru sprawiedliwości (</w:t>
      </w:r>
      <w:hyperlink r:id="rId191" w:history="1">
        <w:r>
          <w:rPr>
            <w:rStyle w:val="Hipercze"/>
            <w:i/>
            <w:iCs/>
          </w:rPr>
          <w:t>Morice przeciwko Francji</w:t>
        </w:r>
      </w:hyperlink>
      <w:r>
        <w:rPr>
          <w:i/>
          <w:iCs/>
        </w:rPr>
        <w:t xml:space="preserve"> </w:t>
      </w:r>
      <w:r>
        <w:t>[WI], § 168). Sędziowie, tworzący fundamentalną instytucję państwa, mogą być w dopuszczalnych granicach przedmiotem osobistej krytyki (</w:t>
      </w:r>
      <w:hyperlink r:id="rId192" w:history="1">
        <w:r>
          <w:rPr>
            <w:rStyle w:val="Hipercze"/>
            <w:i/>
            <w:iCs/>
          </w:rPr>
          <w:t>Morice przeciwko Francji</w:t>
        </w:r>
      </w:hyperlink>
      <w:r>
        <w:rPr>
          <w:i/>
          <w:iCs/>
        </w:rPr>
        <w:t xml:space="preserve"> </w:t>
      </w:r>
      <w:r>
        <w:t>[WI], § 131).</w:t>
      </w:r>
    </w:p>
    <w:p w:rsidR="00BC2D38" w:rsidRDefault="00BC2D38" w:rsidP="00B71560">
      <w:pPr>
        <w:pStyle w:val="ECHRBullet1"/>
      </w:pPr>
      <w:r>
        <w:t>Należy jednak dokonać ścisłego rozróżnienia między krytyką a obrazą. Jeżeli jedynym zamiarem jakiejkolwiek formy wypowiedzi było obrażenie sądu lub sędziów tego sądu, wówczas odpowiednia kara nie stanowiłaby w zasadzie naruszenia art. 10 ust. 2 Konwencji (</w:t>
      </w:r>
      <w:hyperlink r:id="rId193" w:history="1">
        <w:r>
          <w:rPr>
            <w:rStyle w:val="Hipercze"/>
            <w:i/>
            <w:iCs/>
          </w:rPr>
          <w:t>Skałka przeciwko Polsce</w:t>
        </w:r>
      </w:hyperlink>
      <w:r>
        <w:t>,</w:t>
      </w:r>
      <w:r>
        <w:rPr>
          <w:i/>
          <w:iCs/>
        </w:rPr>
        <w:t xml:space="preserve"> </w:t>
      </w:r>
      <w:r>
        <w:t xml:space="preserve">§ 34; </w:t>
      </w:r>
      <w:hyperlink r:id="rId194" w:history="1">
        <w:r>
          <w:rPr>
            <w:rStyle w:val="Hipercze"/>
            <w:i/>
            <w:iCs/>
          </w:rPr>
          <w:t>Mustafa Erdoğan</w:t>
        </w:r>
        <w:r>
          <w:rPr>
            <w:rStyle w:val="Hipercze"/>
          </w:rPr>
          <w:t xml:space="preserve"> </w:t>
        </w:r>
        <w:r>
          <w:rPr>
            <w:rStyle w:val="Hipercze"/>
            <w:i/>
            <w:iCs/>
          </w:rPr>
          <w:t>i Inni przeciwko Turcji</w:t>
        </w:r>
      </w:hyperlink>
      <w:r>
        <w:rPr>
          <w:snapToGrid w:val="0"/>
        </w:rPr>
        <w:t>,</w:t>
      </w:r>
      <w:r>
        <w:t xml:space="preserve"> §</w:t>
      </w:r>
      <w:r>
        <w:rPr>
          <w:snapToGrid w:val="0"/>
        </w:rPr>
        <w:t xml:space="preserve"> 44; </w:t>
      </w:r>
      <w:hyperlink r:id="rId195" w:history="1">
        <w:r>
          <w:rPr>
            <w:rStyle w:val="Hipercze"/>
            <w:i/>
            <w:iCs/>
          </w:rPr>
          <w:t>Nikula przeciwko Finlandii</w:t>
        </w:r>
      </w:hyperlink>
      <w:r>
        <w:t>, § 52). Jednocześnie, użycie ostrego, a nawet sarkastycznego lub zgryźliwego tonu w komentarzu pod adresem sędziego nie jest niezgodne z postanowieniami art. 10 (</w:t>
      </w:r>
      <w:hyperlink r:id="rId196" w:history="1">
        <w:r>
          <w:rPr>
            <w:rStyle w:val="Hipercze"/>
            <w:i/>
            <w:iCs/>
          </w:rPr>
          <w:t>Morice przeciwko Francji</w:t>
        </w:r>
      </w:hyperlink>
      <w:r>
        <w:rPr>
          <w:i/>
          <w:iCs/>
        </w:rPr>
        <w:t xml:space="preserve"> </w:t>
      </w:r>
      <w:r>
        <w:t xml:space="preserve">[WI], § 161; </w:t>
      </w:r>
      <w:hyperlink r:id="rId197" w:history="1">
        <w:r>
          <w:rPr>
            <w:rStyle w:val="Hipercze"/>
            <w:i/>
            <w:iCs/>
          </w:rPr>
          <w:t>Gouveia Gomes Fernandes i Freitas e Costa przeciwko Portugalii</w:t>
        </w:r>
      </w:hyperlink>
      <w:r>
        <w:t>, § 48).</w:t>
      </w:r>
    </w:p>
    <w:p w:rsidR="00BC2D38" w:rsidRDefault="00BC2D38" w:rsidP="00F201AD">
      <w:pPr>
        <w:pStyle w:val="ECHRParaSpaced"/>
      </w:pPr>
    </w:p>
    <w:p w:rsidR="00BC2D38" w:rsidRPr="00802736" w:rsidRDefault="00BC2D38" w:rsidP="00F60A6A">
      <w:pPr>
        <w:pStyle w:val="ECHRHeading3"/>
        <w:rPr>
          <w:rFonts w:cs="Times New Roman"/>
        </w:rPr>
      </w:pPr>
      <w:bookmarkStart w:id="24" w:name="_Toc5712749"/>
      <w:r>
        <w:t>Szersze granice dopuszczalnej krytyki</w:t>
      </w:r>
      <w:bookmarkEnd w:id="24"/>
    </w:p>
    <w:p w:rsidR="00BC2D38" w:rsidRDefault="00BC2D38" w:rsidP="00B71560">
      <w:pPr>
        <w:pStyle w:val="ECHRBullet1"/>
      </w:pPr>
      <w:bookmarkStart w:id="25" w:name="defjud"/>
      <w:r>
        <w:t>Chociaż nie można powiedzieć, że urzędnicy cywilni świadomie otworzyli się na uważną analizę każdego słowa i czynu w takim stopniu jak politycy i w związku z tym, jeżeli chodzi o krytykę działań, powinni być traktowani tak samo jak politycy, działając w ramach urzędu – podobnie jak ma to miejsce w przypadku sędziów i prokuratorów – mogą jednak podlegać dopuszczalnej krytyce w szerszym rozumieniu, niż zwykli obywatele (</w:t>
      </w:r>
      <w:hyperlink r:id="rId198" w:history="1">
        <w:r>
          <w:rPr>
            <w:rStyle w:val="Hipercze"/>
            <w:i/>
            <w:iCs/>
          </w:rPr>
          <w:t>July i SARL Libération przeciwko Francji</w:t>
        </w:r>
      </w:hyperlink>
      <w:r>
        <w:t xml:space="preserve">, § 74; </w:t>
      </w:r>
      <w:hyperlink r:id="rId199" w:history="1">
        <w:r>
          <w:rPr>
            <w:rStyle w:val="Hipercze"/>
            <w:i/>
            <w:iCs/>
          </w:rPr>
          <w:t>Morice przeciwko Francji</w:t>
        </w:r>
      </w:hyperlink>
      <w:r>
        <w:rPr>
          <w:i/>
          <w:iCs/>
        </w:rPr>
        <w:t xml:space="preserve"> </w:t>
      </w:r>
      <w:r>
        <w:t>[WI], § 131).</w:t>
      </w:r>
    </w:p>
    <w:p w:rsidR="00BC2D38" w:rsidRDefault="00BC2D38" w:rsidP="00F201AD">
      <w:pPr>
        <w:pStyle w:val="ECHRParaSpaced"/>
      </w:pPr>
    </w:p>
    <w:p w:rsidR="00BC2D38" w:rsidRPr="005219FC" w:rsidRDefault="00BC2D38" w:rsidP="00F60A6A">
      <w:pPr>
        <w:pStyle w:val="ECHRHeading3"/>
        <w:rPr>
          <w:rFonts w:cs="Times New Roman"/>
        </w:rPr>
      </w:pPr>
      <w:bookmarkStart w:id="26" w:name="_Toc5712750"/>
      <w:r>
        <w:t>Oddziaływanie wypowiedzi na zaufanie publiczne względem wymiaru sprawiedliwości</w:t>
      </w:r>
      <w:bookmarkEnd w:id="26"/>
    </w:p>
    <w:bookmarkEnd w:id="25"/>
    <w:p w:rsidR="00BC2D38" w:rsidRPr="00802736" w:rsidRDefault="00BC2D38" w:rsidP="00073DE3">
      <w:pPr>
        <w:pStyle w:val="ECHRBullet1"/>
        <w:rPr>
          <w:rFonts w:cs="Times New Roman"/>
        </w:rPr>
      </w:pPr>
      <w:r>
        <w:t>Trybunał dokonuje rozróżnienia na sytuację, w której uwagi skarżącego były ograniczone do sali sądowej, oraz sytuacje, w których krytyka sędziego czy prokuratora została wyrażona – przykładowo – w mediach (</w:t>
      </w:r>
      <w:hyperlink r:id="rId200" w:history="1">
        <w:r>
          <w:rPr>
            <w:rStyle w:val="Hipercze"/>
            <w:i/>
            <w:iCs/>
          </w:rPr>
          <w:t>Morice przeciwko Francji</w:t>
        </w:r>
      </w:hyperlink>
      <w:r>
        <w:rPr>
          <w:i/>
          <w:iCs/>
        </w:rPr>
        <w:t xml:space="preserve"> </w:t>
      </w:r>
      <w:r>
        <w:t xml:space="preserve">[WI], §§ 136–139, 171; </w:t>
      </w:r>
      <w:hyperlink r:id="rId201" w:history="1">
        <w:r>
          <w:rPr>
            <w:rStyle w:val="Hipercze"/>
            <w:i/>
            <w:iCs/>
          </w:rPr>
          <w:t>Nikula przeciwko Finlandii</w:t>
        </w:r>
      </w:hyperlink>
      <w:r>
        <w:t xml:space="preserve">, § 52; por. </w:t>
      </w:r>
      <w:hyperlink r:id="rId202" w:history="1">
        <w:r>
          <w:rPr>
            <w:rStyle w:val="Hipercze"/>
            <w:i/>
            <w:iCs/>
          </w:rPr>
          <w:t>Peruzzi przeciwko Włochom</w:t>
        </w:r>
      </w:hyperlink>
      <w:r>
        <w:rPr>
          <w:snapToGrid w:val="0"/>
        </w:rPr>
        <w:t xml:space="preserve">, </w:t>
      </w:r>
      <w:r>
        <w:t>§§ 62–63). Przykładowo jeżeli uwagi skarżącego zostały zarejestrowane jedynie na piśmie i nie zostały upublicznione, Trybunał będzie uznawał ich oddziaływanie na zaufanie publiczne do wymiaru sprawiedliwości w Niemczech za ograniczone (</w:t>
      </w:r>
      <w:hyperlink r:id="rId203" w:history="1">
        <w:r>
          <w:rPr>
            <w:rStyle w:val="Hipercze"/>
            <w:i/>
            <w:iCs/>
          </w:rPr>
          <w:t>Ümit Bilgiç</w:t>
        </w:r>
        <w:r>
          <w:rPr>
            <w:rStyle w:val="Hipercze"/>
            <w:snapToGrid w:val="0"/>
          </w:rPr>
          <w:t xml:space="preserve"> </w:t>
        </w:r>
        <w:r>
          <w:rPr>
            <w:rStyle w:val="Hipercze"/>
          </w:rPr>
          <w:t>przeciwko Turcji</w:t>
        </w:r>
      </w:hyperlink>
      <w:r>
        <w:rPr>
          <w:snapToGrid w:val="0"/>
        </w:rPr>
        <w:t xml:space="preserve">, </w:t>
      </w:r>
      <w:r>
        <w:t>§ 133).</w:t>
      </w:r>
    </w:p>
    <w:p w:rsidR="00BC2D38" w:rsidRDefault="00BC2D38" w:rsidP="00B71560">
      <w:pPr>
        <w:pStyle w:val="ECHRBullet1"/>
      </w:pPr>
      <w:r>
        <w:lastRenderedPageBreak/>
        <w:t>Trybunał odnotował również różnicę między rolą prokuratora jako przeciwnika oskarżonego, a rolą sędziego. Trybunał uważa zatem, że – ogólnie rzecz biorąc – różnica ta powinna zapewniać zwiększoną ochronę w odniesieniu do oświadczeń, w których oskarżony lub adwokat krytykuje prokuratora, w porównaniu do sytuacji, w której atakowałby werbalnie sędziego lub sąd ogółem (</w:t>
      </w:r>
      <w:hyperlink r:id="rId204" w:history="1">
        <w:r>
          <w:rPr>
            <w:rStyle w:val="Hipercze"/>
            <w:i/>
            <w:iCs/>
          </w:rPr>
          <w:t>Morice przeciwko Francji</w:t>
        </w:r>
      </w:hyperlink>
      <w:r>
        <w:rPr>
          <w:i/>
          <w:iCs/>
        </w:rPr>
        <w:t xml:space="preserve"> </w:t>
      </w:r>
      <w:r>
        <w:t xml:space="preserve">[WI], § 137; </w:t>
      </w:r>
      <w:hyperlink r:id="rId205" w:history="1">
        <w:r>
          <w:rPr>
            <w:rStyle w:val="Hipercze"/>
            <w:i/>
            <w:iCs/>
          </w:rPr>
          <w:t>Nikula przeciwko Finlandii</w:t>
        </w:r>
      </w:hyperlink>
      <w:r>
        <w:t>, § 50).</w:t>
      </w:r>
    </w:p>
    <w:p w:rsidR="00BC2D38" w:rsidRDefault="00BC2D38" w:rsidP="0004247A">
      <w:pPr>
        <w:pStyle w:val="ECHRParaSpaced"/>
      </w:pPr>
    </w:p>
    <w:p w:rsidR="00BC2D38" w:rsidRDefault="00BC2D38" w:rsidP="00A74BD3">
      <w:pPr>
        <w:pStyle w:val="ECHRHeading3"/>
      </w:pPr>
      <w:bookmarkStart w:id="27" w:name="_Toc5712751"/>
      <w:r>
        <w:t>Autor oświadczeń</w:t>
      </w:r>
      <w:bookmarkEnd w:id="27"/>
    </w:p>
    <w:p w:rsidR="00BC2D38" w:rsidRDefault="00BC2D38" w:rsidP="00272DC5">
      <w:pPr>
        <w:pStyle w:val="ECHRBullet1"/>
      </w:pPr>
      <w:r>
        <w:t>Można dokonać rozróżnienia na różne kategorie skarżących, których wypowiedzi przeciwko sądownictwu uznano za zniesławienie sędziów i obrazę sądu.</w:t>
      </w:r>
    </w:p>
    <w:p w:rsidR="00BC2D38" w:rsidRDefault="00BC2D38" w:rsidP="00C2389D">
      <w:pPr>
        <w:pStyle w:val="ECHRParaSpaced"/>
      </w:pPr>
    </w:p>
    <w:p w:rsidR="00BC2D38" w:rsidRDefault="00BC2D38" w:rsidP="00272DC5">
      <w:pPr>
        <w:pStyle w:val="ECHRHeading5"/>
        <w:rPr>
          <w:rFonts w:cs="Times New Roman"/>
        </w:rPr>
      </w:pPr>
      <w:r>
        <w:rPr>
          <w:i/>
          <w:iCs/>
        </w:rPr>
        <w:t>i. Prasa</w:t>
      </w:r>
    </w:p>
    <w:p w:rsidR="00BC2D38" w:rsidRDefault="00BC2D38" w:rsidP="00B71560">
      <w:pPr>
        <w:pStyle w:val="ECHRBullet1"/>
      </w:pPr>
      <w:r>
        <w:t>Prasa odgrywa niezwykle ważną rolę w państwie rządów prawa i społeczeństwie demokratycznym. Chociaż nie może przekraczać ustalonych granic wyznaczających, między innymi, ochronę reputacji innych osób, to do niej należy jednak przekazywanie – w sposób spójny z jej zadaniami i obowiązkami – informacji i koncepcji dotyczących zagadnień politycznych oraz innych zagadnień interesu publicznego (</w:t>
      </w:r>
      <w:hyperlink r:id="rId206" w:history="1">
        <w:r>
          <w:rPr>
            <w:rStyle w:val="Hipercze"/>
            <w:i/>
            <w:iCs/>
          </w:rPr>
          <w:t>Prager i Oberschlick przeciwko Austrii</w:t>
        </w:r>
      </w:hyperlink>
      <w:r>
        <w:t xml:space="preserve">, § 34; </w:t>
      </w:r>
      <w:r>
        <w:rPr>
          <w:i/>
          <w:iCs/>
        </w:rPr>
        <w:t xml:space="preserve">Perna przeciwko Włochom </w:t>
      </w:r>
      <w:r>
        <w:t>[WI], §</w:t>
      </w:r>
      <w:r>
        <w:rPr>
          <w:i/>
          <w:iCs/>
        </w:rPr>
        <w:t xml:space="preserve"> </w:t>
      </w:r>
      <w:r>
        <w:t>39). W tym względzie prasa cieszy się wysokim poziomem ochrony wolności wyrażania opinii. Stopień niechęci oraz potencjalna powaga niektórych uwag nie uchylają prawa do wysokiego poziomu ochrony ze względu na istnienie kwestii interesu publicznego (</w:t>
      </w:r>
      <w:hyperlink r:id="rId207" w:history="1">
        <w:r>
          <w:rPr>
            <w:rStyle w:val="Hipercze"/>
            <w:i/>
            <w:iCs/>
          </w:rPr>
          <w:t>Bédat przeciwko Szwajcarii</w:t>
        </w:r>
      </w:hyperlink>
      <w:r>
        <w:rPr>
          <w:i/>
          <w:iCs/>
        </w:rPr>
        <w:t xml:space="preserve"> </w:t>
      </w:r>
      <w:r>
        <w:t>[WI], § 49). Z kolei ochrona zapewniona dziennikarzom przez art. 10 Konwencji przysługuje z zatrzeżeniem, iż działają oni w dobrej wierze w celu dostarczenia dokładnych i wiarygodnych informacji zgodnie z zasadami odpowiedzialnego dziennikarstwa (</w:t>
      </w:r>
      <w:hyperlink r:id="rId208" w:history="1">
        <w:r>
          <w:rPr>
            <w:rStyle w:val="Hipercze"/>
            <w:i/>
            <w:iCs/>
          </w:rPr>
          <w:t>Bédat przeciwko Szwajcarii</w:t>
        </w:r>
      </w:hyperlink>
      <w:r>
        <w:rPr>
          <w:i/>
          <w:iCs/>
        </w:rPr>
        <w:t xml:space="preserve"> </w:t>
      </w:r>
      <w:r>
        <w:t>[WI], § 50).</w:t>
      </w:r>
    </w:p>
    <w:p w:rsidR="00BC2D38" w:rsidRDefault="00BC2D38" w:rsidP="00B71560">
      <w:pPr>
        <w:pStyle w:val="ECHRBullet1"/>
      </w:pPr>
      <w:r>
        <w:t>Pytania o funkcjonowanie systemu sądownictwa, instytucji kluczowej dla każdego społeczeństwa demokratycznego, która służy interesom społeczności w szerokim rozumieniu i wymaga współpracy oświeconej opinii publicznej, wpisują się w sprawy dotyczące interesu publicznego (</w:t>
      </w:r>
      <w:hyperlink r:id="rId209" w:history="1">
        <w:r>
          <w:rPr>
            <w:rStyle w:val="Hipercze"/>
            <w:i/>
            <w:iCs/>
          </w:rPr>
          <w:t>Narodni List D.D. v. Croatia</w:t>
        </w:r>
      </w:hyperlink>
      <w:r>
        <w:t>, § 59). W rzeczy samej prasa jest jednym ze środków, za pomocą którego politycy i opinia publiczna mogą weryfikować, czy sędziowie realizują swoje trudne obowiązki w sposób zgodny z celem będącym podstawą zadania, które im powierzono (</w:t>
      </w:r>
      <w:hyperlink r:id="rId210" w:history="1">
        <w:r>
          <w:rPr>
            <w:rStyle w:val="Hipercze"/>
            <w:i/>
            <w:iCs/>
          </w:rPr>
          <w:t>Prager i Oberschlick przeciwko Austrii</w:t>
        </w:r>
      </w:hyperlink>
      <w:r>
        <w:t xml:space="preserve">, § 34; </w:t>
      </w:r>
      <w:hyperlink r:id="rId211" w:history="1">
        <w:r>
          <w:rPr>
            <w:rStyle w:val="Hipercze"/>
            <w:i/>
            <w:iCs/>
          </w:rPr>
          <w:t>Narodni List D.D. przeciwko Chorwacji</w:t>
        </w:r>
      </w:hyperlink>
      <w:r>
        <w:t>, § 59). Zatem nie tylko prasa ma za zadanie przekazywać takie informacje i koncepcje: opinia publiczna ma prawo je otrzymywać (</w:t>
      </w:r>
      <w:hyperlink r:id="rId212" w:history="1">
        <w:r>
          <w:rPr>
            <w:rStyle w:val="Hipercze"/>
            <w:i/>
            <w:iCs/>
          </w:rPr>
          <w:t>Perna przeciwko Włochom</w:t>
        </w:r>
      </w:hyperlink>
      <w:r>
        <w:rPr>
          <w:i/>
          <w:iCs/>
        </w:rPr>
        <w:t xml:space="preserve"> </w:t>
      </w:r>
      <w:r>
        <w:t>[WI], § 39).</w:t>
      </w:r>
    </w:p>
    <w:p w:rsidR="00BC2D38" w:rsidRDefault="00BC2D38" w:rsidP="00B71560">
      <w:pPr>
        <w:pStyle w:val="ECHRBullet2"/>
      </w:pPr>
      <w:r>
        <w:t>Trybunał uznaje za niewyobrażalne, aby nie było żadnej wcześniejszej czy też równoczesnej dyskusji dotyczącej kwestii rozpraw sądowych, czy to w specjalistycznych czasopismach, prasie o tematyce ogólnej lub wśród ogółu społeczeństwa (</w:t>
      </w:r>
      <w:hyperlink r:id="rId213" w:history="1">
        <w:r>
          <w:rPr>
            <w:rStyle w:val="Hipercze"/>
            <w:i/>
            <w:iCs/>
          </w:rPr>
          <w:t>Bédat przeciwko Szwajcarii</w:t>
        </w:r>
      </w:hyperlink>
      <w:r>
        <w:rPr>
          <w:i/>
          <w:iCs/>
        </w:rPr>
        <w:t xml:space="preserve"> </w:t>
      </w:r>
      <w:r>
        <w:t>[WI], § 51).</w:t>
      </w:r>
    </w:p>
    <w:p w:rsidR="00BC2D38" w:rsidRDefault="00BC2D38" w:rsidP="00B71560">
      <w:pPr>
        <w:pStyle w:val="ECHRBullet2"/>
      </w:pPr>
      <w:r>
        <w:t xml:space="preserve">Dokonując oceny, czy ingerencja była konieczna w demokratycznym społeczeństwie, Trybunał weźmie pod uwagę ogólna treść artykułu i jego istotę. W sprawie </w:t>
      </w:r>
      <w:hyperlink r:id="rId214" w:history="1">
        <w:r>
          <w:rPr>
            <w:rStyle w:val="Hipercze"/>
            <w:i/>
            <w:iCs/>
          </w:rPr>
          <w:t>Perna przeciwko Włochom</w:t>
        </w:r>
      </w:hyperlink>
      <w:r>
        <w:t xml:space="preserve"> [WI] Trybunał uznał, że skarżący nie ograniczył swoich uwag do stwierdzenia, że polityczne przekonania prokuratora uzasadniały wątpliwości co do jego bezstronności, ale dążył do przekazania jasnego i jednoznacznego komunikatu, że prokurator dopuścił się nadużycia władzy. Skarżący nie usiłował również udowodnić prawdziwości swoich twierdzeń. Trybunał uznał, że skazanie skarżącego za pomówienie nie powoduje naruszenia art. 10 (§§ 40–48).</w:t>
      </w:r>
    </w:p>
    <w:p w:rsidR="00BC2D38" w:rsidRPr="00B71560" w:rsidRDefault="00BC2D38" w:rsidP="00B71560">
      <w:pPr>
        <w:pStyle w:val="ECHRBullet2"/>
        <w:rPr>
          <w:rFonts w:cs="Times New Roman"/>
        </w:rPr>
      </w:pPr>
      <w:r>
        <w:lastRenderedPageBreak/>
        <w:t xml:space="preserve">Co więcej, Trybunał będzie analizował nie tylko treść, ale i formę wypowiedzi, jak również środek przekazu, w którym została opublikowana. Przykładowo w sprawie </w:t>
      </w:r>
      <w:hyperlink r:id="rId215" w:history="1">
        <w:r>
          <w:rPr>
            <w:rStyle w:val="Hipercze"/>
            <w:i/>
            <w:iCs/>
          </w:rPr>
          <w:t>Mustafa Erdoğan</w:t>
        </w:r>
        <w:r>
          <w:rPr>
            <w:rStyle w:val="Hipercze"/>
          </w:rPr>
          <w:t xml:space="preserve"> </w:t>
        </w:r>
        <w:r>
          <w:rPr>
            <w:rStyle w:val="Hipercze"/>
            <w:i/>
            <w:iCs/>
          </w:rPr>
          <w:t>i Inni przeciwko Turcji</w:t>
        </w:r>
      </w:hyperlink>
      <w:r>
        <w:rPr>
          <w:snapToGrid w:val="0"/>
        </w:rPr>
        <w:t>,</w:t>
      </w:r>
      <w:r>
        <w:t xml:space="preserve"> Trybunał uznał, że język i sformułowania użyte w artykule krytykującym wyrok trybunału konstytucyjnego były ostre i mogły zostać uznane za obraźliwe. Były to jednak osądy wartościujące dotyczące zagadnienia, które stanowiło już przedmiot burzliwej debaty publicznej. Co więcej, uwagi te znalazły się w magazynie quasi-akademickim, a nie w gazecie codziennej. W świetle powyższego nie stwierdzono naruszenia art. 10 (</w:t>
      </w:r>
      <w:hyperlink r:id="rId216" w:history="1">
        <w:r>
          <w:rPr>
            <w:rStyle w:val="Hipercze"/>
            <w:i/>
            <w:iCs/>
          </w:rPr>
          <w:t>Mustafa Erdoğan</w:t>
        </w:r>
        <w:r>
          <w:rPr>
            <w:rStyle w:val="Hipercze"/>
          </w:rPr>
          <w:t xml:space="preserve"> </w:t>
        </w:r>
        <w:r>
          <w:rPr>
            <w:rStyle w:val="Hipercze"/>
            <w:i/>
            <w:iCs/>
          </w:rPr>
          <w:t>i Inni przeciwko Turcji</w:t>
        </w:r>
      </w:hyperlink>
      <w:r>
        <w:rPr>
          <w:snapToGrid w:val="0"/>
        </w:rPr>
        <w:t>,</w:t>
      </w:r>
      <w:r>
        <w:t xml:space="preserve"> §§</w:t>
      </w:r>
      <w:r>
        <w:rPr>
          <w:snapToGrid w:val="0"/>
        </w:rPr>
        <w:t xml:space="preserve"> 41–46).</w:t>
      </w:r>
    </w:p>
    <w:p w:rsidR="00BC2D38" w:rsidRPr="0004247A" w:rsidRDefault="00BC2D38" w:rsidP="0004247A">
      <w:pPr>
        <w:pStyle w:val="ECHRParaSpaced"/>
      </w:pPr>
    </w:p>
    <w:p w:rsidR="00BC2D38" w:rsidRDefault="00BC2D38" w:rsidP="00272DC5">
      <w:pPr>
        <w:pStyle w:val="ECHRHeading5"/>
        <w:rPr>
          <w:rFonts w:cs="Times New Roman"/>
        </w:rPr>
      </w:pPr>
      <w:r>
        <w:rPr>
          <w:i/>
          <w:iCs/>
        </w:rPr>
        <w:t>ii. Profesjonalni pełnomocnicy</w:t>
      </w:r>
    </w:p>
    <w:p w:rsidR="00BC2D38" w:rsidRPr="00802736" w:rsidRDefault="00BC2D38" w:rsidP="00272DC5">
      <w:pPr>
        <w:pStyle w:val="ECHRBullet1"/>
        <w:rPr>
          <w:rFonts w:cs="Times New Roman"/>
        </w:rPr>
      </w:pPr>
      <w:r>
        <w:t>Szczególny status adwokatów daje im w wymiarze sprawiedliwości centralną pozycję pośredników między opinią publiczną a sądami. Odgrywają zatem kluczową rolę w zapewnieniu, aby sądy, których misja jest fundamentalna w państwie opartym na rządach prawa, cieszyły się zaufaniem publicznym (</w:t>
      </w:r>
      <w:hyperlink r:id="rId217" w:history="1">
        <w:r>
          <w:rPr>
            <w:rStyle w:val="Hipercze"/>
            <w:i/>
            <w:iCs/>
          </w:rPr>
          <w:t>Morice przeciwko Francji</w:t>
        </w:r>
      </w:hyperlink>
      <w:r>
        <w:rPr>
          <w:i/>
          <w:iCs/>
        </w:rPr>
        <w:t xml:space="preserve"> </w:t>
      </w:r>
      <w:r>
        <w:t xml:space="preserve">[WI], § 132; </w:t>
      </w:r>
      <w:hyperlink r:id="rId218" w:history="1">
        <w:r>
          <w:rPr>
            <w:rStyle w:val="Hipercze"/>
            <w:i/>
            <w:iCs/>
          </w:rPr>
          <w:t>Kyprianou przeciwko Cyprowi</w:t>
        </w:r>
      </w:hyperlink>
      <w:r>
        <w:rPr>
          <w:i/>
          <w:iCs/>
        </w:rPr>
        <w:t xml:space="preserve"> </w:t>
      </w:r>
      <w:r>
        <w:t>[WI], § 173).</w:t>
      </w:r>
    </w:p>
    <w:p w:rsidR="00BC2D38" w:rsidRPr="00802736" w:rsidRDefault="00BC2D38" w:rsidP="00272DC5">
      <w:pPr>
        <w:pStyle w:val="ECHRBullet1"/>
        <w:rPr>
          <w:rFonts w:cs="Times New Roman"/>
          <w:shd w:val="clear" w:color="auto" w:fill="FFFFFF"/>
        </w:rPr>
      </w:pPr>
      <w:r>
        <w:t>Wolność wyrażania opinii ma zastosowanie również do adwokatów i chroni nie tylko treść wyrażanych koncepcji i informacji, ale również formę ich wyrażania (</w:t>
      </w:r>
      <w:hyperlink r:id="rId219" w:history="1">
        <w:r>
          <w:rPr>
            <w:rStyle w:val="Hipercze"/>
            <w:i/>
            <w:iCs/>
          </w:rPr>
          <w:t>Kyprianou przeciwko Cyprowi</w:t>
        </w:r>
      </w:hyperlink>
      <w:r>
        <w:rPr>
          <w:i/>
          <w:iCs/>
        </w:rPr>
        <w:t xml:space="preserve"> </w:t>
      </w:r>
      <w:r>
        <w:t xml:space="preserve">[WI], § 174; </w:t>
      </w:r>
      <w:hyperlink r:id="rId220" w:history="1">
        <w:r>
          <w:rPr>
            <w:rStyle w:val="Hipercze"/>
            <w:i/>
            <w:iCs/>
          </w:rPr>
          <w:t>Morice przeciwko Francji</w:t>
        </w:r>
      </w:hyperlink>
      <w:r>
        <w:rPr>
          <w:i/>
          <w:iCs/>
        </w:rPr>
        <w:t xml:space="preserve"> </w:t>
      </w:r>
      <w:r>
        <w:t>[WI], § 134). Adwokaci są uprawnieni w szczególności do publicznego komentowania sprawowania wymiaru sprawiedliwości, o ile ich krytyka nie przekracza pewnych granic (</w:t>
      </w:r>
      <w:hyperlink r:id="rId221" w:history="1">
        <w:r>
          <w:rPr>
            <w:rStyle w:val="Hipercze"/>
            <w:i/>
            <w:iCs/>
          </w:rPr>
          <w:t>Morice przeciwko Francji</w:t>
        </w:r>
      </w:hyperlink>
      <w:r>
        <w:rPr>
          <w:i/>
          <w:iCs/>
        </w:rPr>
        <w:t xml:space="preserve"> </w:t>
      </w:r>
      <w:r>
        <w:t xml:space="preserve">[WI], § 134; </w:t>
      </w:r>
      <w:hyperlink r:id="rId222" w:history="1">
        <w:r>
          <w:rPr>
            <w:rStyle w:val="Hipercze"/>
            <w:i/>
            <w:iCs/>
          </w:rPr>
          <w:t>Nikula przeciwko Finlandii</w:t>
        </w:r>
      </w:hyperlink>
      <w:r>
        <w:t>, § 46).</w:t>
      </w:r>
      <w:r>
        <w:rPr>
          <w:shd w:val="clear" w:color="auto" w:fill="FFFFFF"/>
        </w:rPr>
        <w:t xml:space="preserve"> W związku z powyższym należy brać pod uwagę potrzebę osiągnięcia odpowiedniej równowagi między różnymi interesami, do których należą: prawo opinii publicznej do uzyskania informacji o kwestiach związanych z orzeczeniami sądów, wymóg właściwego sprawowania wymiaru sprawiedliwości oraz godność zawodu prawniczego (</w:t>
      </w:r>
      <w:hyperlink r:id="rId223" w:history="1">
        <w:r>
          <w:rPr>
            <w:rStyle w:val="Hipercze"/>
            <w:i/>
            <w:iCs/>
          </w:rPr>
          <w:t>Nikula przeciwko Finlandii</w:t>
        </w:r>
      </w:hyperlink>
      <w:r>
        <w:t>, § 46</w:t>
      </w:r>
      <w:r>
        <w:rPr>
          <w:shd w:val="clear" w:color="auto" w:fill="FFFFFF"/>
        </w:rPr>
        <w:t>).</w:t>
      </w:r>
    </w:p>
    <w:p w:rsidR="00BC2D38" w:rsidRPr="00554732" w:rsidRDefault="00BC2D38" w:rsidP="00272DC5">
      <w:pPr>
        <w:pStyle w:val="ECHRBullet2"/>
        <w:rPr>
          <w:rFonts w:cs="Times New Roman"/>
        </w:rPr>
      </w:pPr>
      <w:r>
        <w:t>Ważne jest, by uwzględnić, że stanowiska i role adwokatów oraz dziennikarzy w postępowaniu sądowym są z natury różne. Zadaniem dziennikarzy jest przekazywanie informacji i opinii na temat zagadnień interesu publicznego, w tym również dotyczących wymiaru sprawiedliwości. Z kolei adwokaci są bohaterami sceny systemu sądowego, bezpośrednio zaangażowanymi w jej funkcjonowanie i obronę strony. Nie mogą oni zatem zostać przyrównani do zewnętrznego świadka, którego zadaniem jest informowanie opinii publicznej (</w:t>
      </w:r>
      <w:hyperlink r:id="rId224" w:history="1">
        <w:r>
          <w:rPr>
            <w:rStyle w:val="Hipercze"/>
            <w:i/>
            <w:iCs/>
          </w:rPr>
          <w:t>Morice przeciwko Francji</w:t>
        </w:r>
      </w:hyperlink>
      <w:r>
        <w:rPr>
          <w:i/>
          <w:iCs/>
        </w:rPr>
        <w:t xml:space="preserve"> </w:t>
      </w:r>
      <w:r>
        <w:t>[WI], § 148).</w:t>
      </w:r>
    </w:p>
    <w:p w:rsidR="00BC2D38" w:rsidRPr="00802736" w:rsidRDefault="00BC2D38" w:rsidP="00272DC5">
      <w:pPr>
        <w:pStyle w:val="ECHRBullet2"/>
        <w:rPr>
          <w:rFonts w:cs="Times New Roman"/>
        </w:rPr>
      </w:pPr>
      <w:r>
        <w:t>Chociaż istnieją ograniczenia dotyczące postępowania zawodowego adwokatów, od których wymaga się dyskrecji, szczerości i godności, przysługują im również wyłączne prawa i przywileje, które mogą różnić się w zależności od jurysdykcji, a należy do nich między innymi pewna swoboda argumentacji przytaczanej przed sądem (</w:t>
      </w:r>
      <w:hyperlink r:id="rId225" w:history="1">
        <w:r>
          <w:rPr>
            <w:rStyle w:val="Hipercze"/>
            <w:i/>
            <w:iCs/>
          </w:rPr>
          <w:t>Morice przeciwko Francji</w:t>
        </w:r>
      </w:hyperlink>
      <w:r>
        <w:rPr>
          <w:i/>
          <w:iCs/>
        </w:rPr>
        <w:t xml:space="preserve"> </w:t>
      </w:r>
      <w:r>
        <w:t>[WI], § 133). Oczywiste jest, że adwokaci, broniąc klientów w sądach, w szczególności w kontekście kontradyktoryjnych procesów w sprawach karnych, mogą znaleźć się w delikatnej sytuacji, w której muszą podjąć decyzję, czy wyrazić sprzeciw wobec postępowania sądu lub złożyć skargę, mając na uwadze interes swojego klienta (</w:t>
      </w:r>
      <w:hyperlink r:id="rId226" w:history="1">
        <w:r>
          <w:rPr>
            <w:rStyle w:val="Hipercze"/>
            <w:i/>
            <w:iCs/>
          </w:rPr>
          <w:t>Kyprianou przeciwko Cyprowi</w:t>
        </w:r>
      </w:hyperlink>
      <w:r>
        <w:rPr>
          <w:i/>
          <w:iCs/>
        </w:rPr>
        <w:t xml:space="preserve"> </w:t>
      </w:r>
      <w:r>
        <w:t>[WI], § 175).</w:t>
      </w:r>
    </w:p>
    <w:p w:rsidR="00BC2D38" w:rsidRDefault="00BC2D38" w:rsidP="00272DC5">
      <w:pPr>
        <w:pStyle w:val="ECHRBullet2"/>
      </w:pPr>
      <w:r>
        <w:t>Zasady postępowania przewidziane dla adwokatów przyczyniają się do ochrony sądownictwa przed bezinteresownymi i bezpodstawnymi atakami, które mogą być motywowane wyłącznie chęcią lub strategią dążenia do zapewnienia prowadzenia debaty sądowej w mediach lub wyrównania rachunków z sędziami rozpoznającymi konkretną sprawę (</w:t>
      </w:r>
      <w:hyperlink r:id="rId227" w:history="1">
        <w:r>
          <w:rPr>
            <w:rStyle w:val="Hipercze"/>
            <w:i/>
            <w:iCs/>
          </w:rPr>
          <w:t>Morice przeciwko Francji</w:t>
        </w:r>
      </w:hyperlink>
      <w:r>
        <w:rPr>
          <w:i/>
          <w:iCs/>
        </w:rPr>
        <w:t xml:space="preserve"> </w:t>
      </w:r>
      <w:r>
        <w:t>[WI], § 134). Trybunał odrzucił zatem argument skarżącego, iż wolność wyrażania opinii przez obrońcę powinna być nieograniczona (</w:t>
      </w:r>
      <w:hyperlink r:id="rId228" w:history="1">
        <w:r>
          <w:rPr>
            <w:rStyle w:val="Hipercze"/>
            <w:i/>
            <w:iCs/>
          </w:rPr>
          <w:t>Nikula przeciwko Finlandii</w:t>
        </w:r>
      </w:hyperlink>
      <w:r>
        <w:t>, § 49).</w:t>
      </w:r>
      <w:r>
        <w:rPr>
          <w:color w:val="000000"/>
          <w:shd w:val="clear" w:color="auto" w:fill="FFFFFF"/>
        </w:rPr>
        <w:t xml:space="preserve"> Mimo to </w:t>
      </w:r>
      <w:r>
        <w:t xml:space="preserve">wyłącznie w wyjątkowych </w:t>
      </w:r>
      <w:r>
        <w:lastRenderedPageBreak/>
        <w:t>przypadkach to ograniczenie wolności wyrażania opinii przez obrońcę – chociażby w drodze łagodnej sankcji karnej – może być uznawane za konieczne w demokratycznym społeczeństwie (</w:t>
      </w:r>
      <w:hyperlink r:id="rId229" w:history="1">
        <w:r>
          <w:rPr>
            <w:rStyle w:val="Hipercze"/>
            <w:i/>
            <w:iCs/>
          </w:rPr>
          <w:t>Morice przeciwko Francji</w:t>
        </w:r>
      </w:hyperlink>
      <w:r>
        <w:rPr>
          <w:i/>
          <w:iCs/>
        </w:rPr>
        <w:t xml:space="preserve"> </w:t>
      </w:r>
      <w:r>
        <w:t xml:space="preserve">[WI], § 135; </w:t>
      </w:r>
      <w:hyperlink r:id="rId230" w:history="1">
        <w:r>
          <w:rPr>
            <w:rStyle w:val="Hipercze"/>
            <w:i/>
            <w:iCs/>
          </w:rPr>
          <w:t>Kyprianou przeciwko Cyprowi</w:t>
        </w:r>
      </w:hyperlink>
      <w:r>
        <w:rPr>
          <w:i/>
          <w:iCs/>
        </w:rPr>
        <w:t xml:space="preserve"> </w:t>
      </w:r>
      <w:r>
        <w:t>[WI], § 174).</w:t>
      </w:r>
    </w:p>
    <w:p w:rsidR="00BC2D38" w:rsidRPr="00B63A40" w:rsidRDefault="00BC2D38" w:rsidP="00272DC5">
      <w:pPr>
        <w:pStyle w:val="ECHRBullet2"/>
        <w:rPr>
          <w:rFonts w:cs="Times New Roman"/>
        </w:rPr>
      </w:pPr>
      <w:r>
        <w:t xml:space="preserve">W sprawie </w:t>
      </w:r>
      <w:hyperlink r:id="rId231" w:history="1">
        <w:r>
          <w:rPr>
            <w:rStyle w:val="Hipercze"/>
            <w:i/>
            <w:iCs/>
          </w:rPr>
          <w:t>Kyprianou przeciwko Cyprowi</w:t>
        </w:r>
      </w:hyperlink>
      <w:r>
        <w:rPr>
          <w:i/>
          <w:iCs/>
        </w:rPr>
        <w:t xml:space="preserve"> </w:t>
      </w:r>
      <w:r>
        <w:t>[WI] Trybunał uznał, że nakładanie kary izolacyjnej ze względu na jej charakter w sposób nieunikniony powodowałoby tzw. efekt mrożący, nie tylko w odniesieniu do konkretnego adwokata, ale i zawodu adwokata ogółem (§ 175). Co więcej, wymierzanie kary pozbawienia wolności obrońcy może w pewnych okolicznościach wywoływać skutki nie tylko dla praw adwokata wynikających z art. 10, ale również dla praw klienta do rzetelnego procesu wynikających z art. 6 Konwencji (</w:t>
      </w:r>
      <w:hyperlink r:id="rId232" w:history="1">
        <w:r>
          <w:rPr>
            <w:rStyle w:val="Hipercze"/>
          </w:rPr>
          <w:t>ibid</w:t>
        </w:r>
      </w:hyperlink>
      <w:r>
        <w:t>.).</w:t>
      </w:r>
    </w:p>
    <w:p w:rsidR="00BC2D38" w:rsidRPr="0004247A" w:rsidRDefault="00BC2D38" w:rsidP="0004247A">
      <w:pPr>
        <w:pStyle w:val="ECHRParaSpaced"/>
      </w:pPr>
    </w:p>
    <w:p w:rsidR="00BC2D38" w:rsidRPr="00BC45FA" w:rsidRDefault="00BC2D38" w:rsidP="00272DC5">
      <w:pPr>
        <w:pStyle w:val="ECHRHeading5"/>
        <w:rPr>
          <w:rFonts w:cs="Times New Roman"/>
        </w:rPr>
      </w:pPr>
      <w:r>
        <w:t>iii. Oskarżeni i inni</w:t>
      </w:r>
    </w:p>
    <w:p w:rsidR="00BC2D38" w:rsidRDefault="00BC2D38" w:rsidP="00272DC5">
      <w:pPr>
        <w:pStyle w:val="ECHRBullet1"/>
      </w:pPr>
      <w:r>
        <w:t xml:space="preserve">Władza sądownicza może być również przedmiotem krytyki ze strony oskarżonego (zob. </w:t>
      </w:r>
      <w:hyperlink r:id="rId233" w:history="1">
        <w:r>
          <w:rPr>
            <w:rStyle w:val="Hipercze"/>
            <w:i/>
            <w:iCs/>
          </w:rPr>
          <w:t>Ümit Bilgiç</w:t>
        </w:r>
        <w:r>
          <w:rPr>
            <w:rStyle w:val="Hipercze"/>
            <w:snapToGrid w:val="0"/>
          </w:rPr>
          <w:t xml:space="preserve"> </w:t>
        </w:r>
        <w:r>
          <w:rPr>
            <w:rStyle w:val="Hipercze"/>
            <w:i/>
            <w:iCs/>
          </w:rPr>
          <w:t>przeciwko Turcji</w:t>
        </w:r>
      </w:hyperlink>
      <w:r>
        <w:rPr>
          <w:rStyle w:val="Hipercze"/>
          <w:color w:val="auto"/>
          <w:u w:val="none"/>
        </w:rPr>
        <w:t xml:space="preserve"> oraz </w:t>
      </w:r>
      <w:hyperlink r:id="rId234" w:history="1">
        <w:r>
          <w:rPr>
            <w:rStyle w:val="Hipercze"/>
            <w:i/>
            <w:iCs/>
          </w:rPr>
          <w:t>Saday przeciwko Turcji</w:t>
        </w:r>
      </w:hyperlink>
      <w:r>
        <w:rPr>
          <w:rStyle w:val="Hipercze"/>
          <w:color w:val="auto"/>
          <w:u w:val="none"/>
        </w:rPr>
        <w:t>)</w:t>
      </w:r>
      <w:r>
        <w:t xml:space="preserve">, osadzonego (zob. </w:t>
      </w:r>
      <w:hyperlink r:id="rId235" w:history="1">
        <w:r>
          <w:rPr>
            <w:rStyle w:val="Hipercze"/>
            <w:i/>
            <w:iCs/>
          </w:rPr>
          <w:t>Skałka przeciwko Polsce</w:t>
        </w:r>
      </w:hyperlink>
      <w:r>
        <w:t xml:space="preserve">) lub publiczności obserwującej proces (zob. </w:t>
      </w:r>
      <w:hyperlink r:id="rId236" w:history="1">
        <w:r>
          <w:rPr>
            <w:rStyle w:val="Hipercze"/>
            <w:i/>
            <w:iCs/>
          </w:rPr>
          <w:t>Słomka przeciwko Polsce</w:t>
        </w:r>
      </w:hyperlink>
      <w:r>
        <w:t>). W tego rodzaju sprawach Trybunał, ustalając czy ingerencja była konieczna w demokratycznym społeczeństwie, może wziąć pod uwagę, że skarżący nie był przedstawicielem zawodu prawniczego, co bez wątpienia miało znaczenie dla jego tonu i sformułowań, których używał, a także braku znajomości konwencji obowiązujących w pismach sądowych (zob. </w:t>
      </w:r>
      <w:hyperlink r:id="rId237" w:history="1">
        <w:r>
          <w:rPr>
            <w:rStyle w:val="Hipercze"/>
            <w:i/>
            <w:iCs/>
          </w:rPr>
          <w:t>Ümit Bilgiç</w:t>
        </w:r>
        <w:r>
          <w:rPr>
            <w:rStyle w:val="Hipercze"/>
            <w:snapToGrid w:val="0"/>
          </w:rPr>
          <w:t xml:space="preserve"> </w:t>
        </w:r>
        <w:r>
          <w:rPr>
            <w:rStyle w:val="Hipercze"/>
            <w:i/>
            <w:iCs/>
          </w:rPr>
          <w:t>przeciwko Turcji</w:t>
        </w:r>
      </w:hyperlink>
      <w:r>
        <w:rPr>
          <w:snapToGrid w:val="0"/>
        </w:rPr>
        <w:t xml:space="preserve">, </w:t>
      </w:r>
      <w:r>
        <w:t>§ 134).</w:t>
      </w:r>
    </w:p>
    <w:p w:rsidR="00BC2D38" w:rsidRDefault="00BC2D38" w:rsidP="00272DC5">
      <w:pPr>
        <w:pStyle w:val="ECHRBullet2"/>
        <w:rPr>
          <w:rStyle w:val="sfbbfee58"/>
          <w:rFonts w:cs="Times New Roman"/>
        </w:rPr>
      </w:pPr>
      <w:r>
        <w:rPr>
          <w:rStyle w:val="sfbbfee58"/>
        </w:rPr>
        <w:t>W sprawie dotyczącej skazania za zniesławienie w następstwie opublikowania książki, w której były oskarżony opisał własny proces</w:t>
      </w:r>
      <w:r>
        <w:t>, Trybunał uznał, że</w:t>
      </w:r>
      <w:r>
        <w:rPr>
          <w:rStyle w:val="sfbbfee58"/>
        </w:rPr>
        <w:t xml:space="preserve"> skarżący skorzystał w książce jedynie ze swojej swobody do przedstawienia własnego procesu jako były oskarżony. Chociaż, w przeciwieństwie do obrońcy, nie miał do niego zastosowania szeroki margines swobody w zakresie krytyki prokuratora ze względu na zasadę równości stron, nie był to dostateczny powód, aby tolerować ocenę </w:t>
      </w:r>
      <w:r>
        <w:rPr>
          <w:rStyle w:val="s1a844bc0"/>
        </w:rPr>
        <w:t xml:space="preserve">ex post facto </w:t>
      </w:r>
      <w:r>
        <w:rPr>
          <w:rStyle w:val="sfbbfee58"/>
        </w:rPr>
        <w:t xml:space="preserve">jego wypowiedzi z sądu. Co więcej, uznane za zniesławiające komentarze zawarte w książce kilka lat po procesie były takie same jak komentarze poczynione przez skarżącego w trakcie procesu. W tamtym czasie jednak nie wszczęto przeciwko skarżącemu żadnego postępowania, co krajowy sąd powinien był wziąć pod uwagę </w:t>
      </w:r>
      <w:r>
        <w:t>(</w:t>
      </w:r>
      <w:hyperlink r:id="rId238" w:history="1">
        <w:r>
          <w:rPr>
            <w:rStyle w:val="Hipercze"/>
            <w:i/>
            <w:iCs/>
          </w:rPr>
          <w:t>Roland Dumas przeciwko Francji</w:t>
        </w:r>
      </w:hyperlink>
      <w:r>
        <w:t>, §§ 48–51).</w:t>
      </w:r>
    </w:p>
    <w:p w:rsidR="00BC2D38" w:rsidRPr="00AE131D" w:rsidRDefault="00BC2D38" w:rsidP="0004247A">
      <w:pPr>
        <w:pStyle w:val="ECHRParaSpaced"/>
      </w:pPr>
    </w:p>
    <w:p w:rsidR="00BC2D38" w:rsidRPr="00802736" w:rsidRDefault="00BC2D38" w:rsidP="00AE4DB7">
      <w:pPr>
        <w:pStyle w:val="ECHRHeading1"/>
        <w:rPr>
          <w:rFonts w:cs="Times New Roman"/>
        </w:rPr>
      </w:pPr>
      <w:bookmarkStart w:id="28" w:name="_Toc5712752"/>
      <w:r>
        <w:t>Artykuł 11</w:t>
      </w:r>
      <w:bookmarkEnd w:id="28"/>
    </w:p>
    <w:p w:rsidR="00BC2D38" w:rsidRDefault="00BC2D38" w:rsidP="00272DC5">
      <w:pPr>
        <w:pStyle w:val="ECHRBullet1"/>
      </w:pPr>
      <w:r>
        <w:t xml:space="preserve">W sprawie </w:t>
      </w:r>
      <w:hyperlink r:id="rId239" w:history="1">
        <w:r>
          <w:rPr>
            <w:rStyle w:val="Hipercze"/>
            <w:i/>
            <w:iCs/>
          </w:rPr>
          <w:t>Maestri przeciwko Włochom</w:t>
        </w:r>
      </w:hyperlink>
      <w:r>
        <w:t xml:space="preserve"> [WI] skarżący złożył skargę w związku z postępowaniem dyscyplinarnym wszczętym przeciwko niemu ze względu na przynależność do loży masońskiej i nałożoną karą. W decyzji o udzieleniu nagany stwierdzono, że przynależność do wolnomularzy jest sprzeczna z zasadami dyscyplinarnymi z następujących względów: niezgodność przysięgi masońskiej i sędziowskiej, relacje hierarchiczne w loży masońskiej, „odrzucenie” sprawiedliwości państwowej na rzecz „sprawiedliwości” masońskiej i – wreszcie – nierozerwalny charakter więzi między wolnomularzami, nawet w przypadku członka, który chciał opuścić organizację (</w:t>
      </w:r>
      <w:r>
        <w:rPr>
          <w:snapToGrid w:val="0"/>
        </w:rPr>
        <w:t xml:space="preserve">§ </w:t>
      </w:r>
      <w:r>
        <w:t>13). Trybunał orzekł, iż doszło do ingerencji w prawo skarżącego do wolności zgromadzeń zagwarantowane w art. 11 (</w:t>
      </w:r>
      <w:r>
        <w:rPr>
          <w:snapToGrid w:val="0"/>
        </w:rPr>
        <w:t xml:space="preserve">§ </w:t>
      </w:r>
      <w:r>
        <w:t>26). Trybunał uznał następnie, że brzmienie ustawy nie było dostatecznie jasne, by skarżący mógł zdać sobie sprawę, że przynależność do loży masońskiej może prowadzić do nałożenia na niego kar, w związku z czym doszło do naruszenia art. 11 (</w:t>
      </w:r>
      <w:r>
        <w:rPr>
          <w:snapToGrid w:val="0"/>
        </w:rPr>
        <w:t xml:space="preserve">§§ </w:t>
      </w:r>
      <w:r>
        <w:t>41–42).</w:t>
      </w:r>
    </w:p>
    <w:p w:rsidR="00BC2D38" w:rsidRDefault="00BC2D38" w:rsidP="00272DC5">
      <w:pPr>
        <w:pStyle w:val="ECHRPara"/>
      </w:pPr>
    </w:p>
    <w:p w:rsidR="00BC2D38" w:rsidRPr="00802736" w:rsidRDefault="00BC2D38" w:rsidP="00C2389D">
      <w:pPr>
        <w:rPr>
          <w:b/>
          <w:bCs/>
          <w:color w:val="2F2F2F"/>
          <w:sz w:val="28"/>
          <w:szCs w:val="28"/>
        </w:rPr>
      </w:pPr>
      <w:r>
        <w:br w:type="page"/>
      </w:r>
    </w:p>
    <w:p w:rsidR="00BC2D38" w:rsidRPr="00802736" w:rsidRDefault="00BC2D38" w:rsidP="00C2389D">
      <w:pPr>
        <w:pStyle w:val="ECHRHeading1"/>
        <w:rPr>
          <w:rFonts w:cs="Times New Roman"/>
        </w:rPr>
      </w:pPr>
      <w:bookmarkStart w:id="29" w:name="_Toc5712753"/>
      <w:r>
        <w:t>Bibliografia</w:t>
      </w:r>
      <w:bookmarkEnd w:id="29"/>
    </w:p>
    <w:p w:rsidR="00BC2D38" w:rsidRPr="00802736" w:rsidRDefault="00BC2D38" w:rsidP="00C2389D">
      <w:pPr>
        <w:pStyle w:val="ECHRHeading2"/>
        <w:rPr>
          <w:rFonts w:cs="Times New Roman"/>
          <w:i/>
          <w:iCs/>
        </w:rPr>
      </w:pPr>
      <w:bookmarkStart w:id="30" w:name="_Toc5712754"/>
      <w:r>
        <w:rPr>
          <w:i/>
          <w:iCs/>
        </w:rPr>
        <w:t>Arkusze informacyjne dla mediów:</w:t>
      </w:r>
      <w:bookmarkEnd w:id="30"/>
    </w:p>
    <w:p w:rsidR="00BC2D38" w:rsidRPr="00D173C3" w:rsidRDefault="003F0A31" w:rsidP="00C2389D">
      <w:pPr>
        <w:pStyle w:val="ECHRBullet1"/>
        <w:rPr>
          <w:rStyle w:val="Hipercze"/>
          <w:rFonts w:cs="Times New Roman"/>
          <w:color w:val="auto"/>
          <w:u w:val="none"/>
          <w:lang w:val="en-GB"/>
        </w:rPr>
      </w:pPr>
      <w:hyperlink r:id="rId240" w:history="1">
        <w:r w:rsidR="00BC2D38" w:rsidRPr="00D173C3">
          <w:rPr>
            <w:rStyle w:val="Hipercze"/>
            <w:lang w:val="en-GB"/>
          </w:rPr>
          <w:t>Protection of reputation [Ochrona reputacji]</w:t>
        </w:r>
      </w:hyperlink>
    </w:p>
    <w:p w:rsidR="00BC2D38" w:rsidRPr="00D173C3" w:rsidRDefault="00BC2D38" w:rsidP="0004247A">
      <w:pPr>
        <w:pStyle w:val="ECHRParaSpaced"/>
        <w:rPr>
          <w:lang w:val="en-GB"/>
        </w:rPr>
      </w:pPr>
    </w:p>
    <w:p w:rsidR="00BC2D38" w:rsidRPr="00802736" w:rsidRDefault="00BC2D38" w:rsidP="00C2389D">
      <w:pPr>
        <w:pStyle w:val="ECHRHeading2"/>
        <w:rPr>
          <w:rFonts w:cs="Times New Roman"/>
          <w:i/>
          <w:iCs/>
        </w:rPr>
      </w:pPr>
      <w:bookmarkStart w:id="31" w:name="_Toc5712755"/>
      <w:r>
        <w:rPr>
          <w:i/>
          <w:iCs/>
        </w:rPr>
        <w:t>Inne</w:t>
      </w:r>
      <w:bookmarkEnd w:id="31"/>
    </w:p>
    <w:p w:rsidR="00BC2D38" w:rsidRPr="0004247A" w:rsidRDefault="00BC2D38" w:rsidP="00C2389D">
      <w:pPr>
        <w:pStyle w:val="ECHRBullet1"/>
        <w:rPr>
          <w:rStyle w:val="Hipercze"/>
          <w:rFonts w:cs="Times New Roman"/>
          <w:color w:val="auto"/>
        </w:rPr>
      </w:pPr>
      <w:r w:rsidRPr="00802736">
        <w:fldChar w:fldCharType="begin"/>
      </w:r>
      <w:r w:rsidRPr="00802736">
        <w:instrText xml:space="preserve"> HYPERLINK "https://www.echr.coe.int/Documents/Seminar_background_paper_2018_ENG.pdf" </w:instrText>
      </w:r>
      <w:r w:rsidRPr="00802736">
        <w:fldChar w:fldCharType="separate"/>
      </w:r>
      <w:r>
        <w:rPr>
          <w:rStyle w:val="Hipercze"/>
        </w:rPr>
        <w:t xml:space="preserve">The Authority of the Judiciary [Autorytet sądownictwa] (seminaryjny dokument </w:t>
      </w:r>
      <w:r>
        <w:rPr>
          <w:color w:val="0072BC"/>
          <w:u w:val="single"/>
        </w:rPr>
        <w:t>kontekstowy</w:t>
      </w:r>
      <w:r>
        <w:rPr>
          <w:rStyle w:val="Hipercze"/>
        </w:rPr>
        <w:t xml:space="preserve"> na rozpoczęcie roku sędziowskiego 2018</w:t>
      </w:r>
      <w:r>
        <w:rPr>
          <w:color w:val="0072BC"/>
          <w:u w:val="single"/>
        </w:rPr>
        <w:t>)</w:t>
      </w:r>
    </w:p>
    <w:p w:rsidR="00BC2D38" w:rsidRPr="0004247A" w:rsidRDefault="00BC2D38" w:rsidP="00C2389D">
      <w:pPr>
        <w:pStyle w:val="ECHRBullet1"/>
        <w:rPr>
          <w:rStyle w:val="Hipercze"/>
          <w:rFonts w:cs="Times New Roman"/>
          <w:color w:val="auto"/>
        </w:rPr>
      </w:pPr>
      <w:r w:rsidRPr="00802736">
        <w:fldChar w:fldCharType="end"/>
      </w:r>
      <w:r w:rsidRPr="00802736">
        <w:fldChar w:fldCharType="begin"/>
      </w:r>
      <w:r w:rsidRPr="00802736">
        <w:instrText xml:space="preserve"> HYPERLINK "https://www.echr.coe.int/Documents/Seminar_background_paper_2019_ENG.pdf" </w:instrText>
      </w:r>
      <w:r w:rsidRPr="00802736">
        <w:fldChar w:fldCharType="separate"/>
      </w:r>
      <w:r>
        <w:rPr>
          <w:rStyle w:val="Hipercze"/>
        </w:rPr>
        <w:t xml:space="preserve">Strengthening Confidence in the Judiciary [Wzmacnianie zaufania wobec sądownictwa] (seminaryjny dokument </w:t>
      </w:r>
      <w:r>
        <w:rPr>
          <w:color w:val="0072BC"/>
          <w:u w:val="single"/>
        </w:rPr>
        <w:t>kontekstowy</w:t>
      </w:r>
      <w:r>
        <w:rPr>
          <w:rStyle w:val="Hipercze"/>
        </w:rPr>
        <w:t xml:space="preserve"> na rozpoczęcie roku sędziowskiego 2019</w:t>
      </w:r>
      <w:r>
        <w:rPr>
          <w:color w:val="0072BC"/>
          <w:u w:val="single"/>
        </w:rPr>
        <w:t>)</w:t>
      </w:r>
    </w:p>
    <w:p w:rsidR="00BC2D38" w:rsidRPr="00802736" w:rsidRDefault="00BC2D38" w:rsidP="0004247A">
      <w:pPr>
        <w:pStyle w:val="ECHRParaSpaced"/>
      </w:pPr>
      <w:r w:rsidRPr="00802736">
        <w:fldChar w:fldCharType="end"/>
      </w:r>
    </w:p>
    <w:p w:rsidR="00BC2D38" w:rsidRPr="00802736" w:rsidRDefault="00BC2D38" w:rsidP="00C2389D">
      <w:pPr>
        <w:rPr>
          <w:b/>
          <w:bCs/>
          <w:color w:val="2F2F2F"/>
          <w:sz w:val="28"/>
          <w:szCs w:val="28"/>
        </w:rPr>
      </w:pPr>
      <w:r>
        <w:br w:type="page"/>
      </w:r>
    </w:p>
    <w:p w:rsidR="00BC2D38" w:rsidRPr="00C41ADF" w:rsidRDefault="00BC2D38" w:rsidP="004E10A3">
      <w:pPr>
        <w:pStyle w:val="ECHRHeading1"/>
        <w:rPr>
          <w:rFonts w:cs="Times New Roman"/>
        </w:rPr>
      </w:pPr>
      <w:bookmarkStart w:id="32" w:name="_Toc536612597"/>
      <w:bookmarkStart w:id="33" w:name="_Toc5712756"/>
      <w:r>
        <w:t>Orzecznictwo</w:t>
      </w:r>
      <w:bookmarkEnd w:id="32"/>
      <w:bookmarkEnd w:id="33"/>
    </w:p>
    <w:p w:rsidR="00BC2D38" w:rsidRPr="0004247A" w:rsidRDefault="00BC2D38" w:rsidP="0004247A">
      <w:pPr>
        <w:pStyle w:val="ECHRParaSpaced"/>
        <w:spacing w:before="240" w:after="0"/>
        <w:rPr>
          <w:b/>
          <w:bCs/>
          <w:sz w:val="28"/>
          <w:szCs w:val="28"/>
        </w:rPr>
      </w:pPr>
      <w:r>
        <w:rPr>
          <w:b/>
          <w:bCs/>
          <w:sz w:val="28"/>
          <w:szCs w:val="28"/>
        </w:rPr>
        <w:t>Sprawy na podstawie art. 6</w:t>
      </w:r>
    </w:p>
    <w:p w:rsidR="00BC2D38" w:rsidRPr="00C766BA" w:rsidRDefault="00BC2D38" w:rsidP="00C766BA">
      <w:pPr>
        <w:pStyle w:val="ECHRParaSpaced"/>
        <w:spacing w:before="240" w:after="0"/>
        <w:rPr>
          <w:b/>
          <w:bCs/>
          <w:sz w:val="24"/>
          <w:szCs w:val="24"/>
        </w:rPr>
      </w:pPr>
      <w:r>
        <w:rPr>
          <w:b/>
          <w:bCs/>
          <w:sz w:val="24"/>
          <w:szCs w:val="24"/>
        </w:rPr>
        <w:t>Sprawy główne</w:t>
      </w:r>
    </w:p>
    <w:p w:rsidR="00BC2D38" w:rsidRPr="00C41ADF" w:rsidRDefault="003F0A31" w:rsidP="004E10A3">
      <w:pPr>
        <w:pStyle w:val="ECHRBullet1"/>
        <w:rPr>
          <w:rFonts w:cs="Times New Roman"/>
        </w:rPr>
      </w:pPr>
      <w:hyperlink r:id="rId241" w:history="1">
        <w:r w:rsidR="00BC2D38">
          <w:rPr>
            <w:rStyle w:val="Hipercze"/>
            <w:i/>
            <w:iCs/>
          </w:rPr>
          <w:t>Oleksandr Volkov przeciwko Ukrainie</w:t>
        </w:r>
      </w:hyperlink>
      <w:r w:rsidR="00BC2D38">
        <w:t>, skarga nr 21722/11</w:t>
      </w:r>
      <w:r w:rsidR="00BC2D38">
        <w:rPr>
          <w:snapToGrid w:val="0"/>
        </w:rPr>
        <w:t xml:space="preserve">, </w:t>
      </w:r>
      <w:r w:rsidR="00BC2D38">
        <w:t>9 stycznia 2013 r.</w:t>
      </w:r>
    </w:p>
    <w:p w:rsidR="00BC2D38" w:rsidRPr="00D24DF9" w:rsidRDefault="003F0A31" w:rsidP="004E10A3">
      <w:pPr>
        <w:pStyle w:val="ECHRBullet1"/>
        <w:rPr>
          <w:rFonts w:cs="Times New Roman"/>
          <w:snapToGrid w:val="0"/>
        </w:rPr>
      </w:pPr>
      <w:hyperlink r:id="rId242" w:history="1">
        <w:r w:rsidR="00BC2D38">
          <w:rPr>
            <w:rStyle w:val="Hipercze"/>
            <w:i/>
            <w:iCs/>
          </w:rPr>
          <w:t>Baka przeciwko Węgrom</w:t>
        </w:r>
      </w:hyperlink>
      <w:r w:rsidR="00BC2D38">
        <w:rPr>
          <w:i/>
          <w:iCs/>
        </w:rPr>
        <w:t xml:space="preserve"> </w:t>
      </w:r>
      <w:r w:rsidR="00BC2D38">
        <w:t>[WI], skarga nr 20261/12</w:t>
      </w:r>
      <w:r w:rsidR="00BC2D38">
        <w:rPr>
          <w:snapToGrid w:val="0"/>
        </w:rPr>
        <w:t>, 23 czerwca 2016 r.</w:t>
      </w:r>
    </w:p>
    <w:p w:rsidR="00BC2D38" w:rsidRPr="00C41ADF" w:rsidRDefault="003F0A31" w:rsidP="004E10A3">
      <w:pPr>
        <w:pStyle w:val="ECHRBullet1"/>
        <w:rPr>
          <w:rFonts w:cs="Times New Roman"/>
        </w:rPr>
      </w:pPr>
      <w:hyperlink r:id="rId243" w:history="1">
        <w:r w:rsidR="00BC2D38">
          <w:rPr>
            <w:rStyle w:val="Hipercze"/>
            <w:i/>
            <w:iCs/>
          </w:rPr>
          <w:t>Denisov przeciwko Ukrainie</w:t>
        </w:r>
      </w:hyperlink>
      <w:r w:rsidR="00BC2D38">
        <w:t xml:space="preserve"> [WI], nr 76639/11, 25 września 2018 r.</w:t>
      </w:r>
    </w:p>
    <w:p w:rsidR="00BC2D38" w:rsidRDefault="003F0A31" w:rsidP="00272DC5">
      <w:pPr>
        <w:pStyle w:val="ECHRBullet1"/>
      </w:pPr>
      <w:hyperlink r:id="rId244" w:history="1">
        <w:r w:rsidR="00BC2D38">
          <w:rPr>
            <w:rStyle w:val="Hipercze"/>
            <w:i/>
            <w:iCs/>
          </w:rPr>
          <w:t>Ramos Nunes de Carvalho e Sá przeciwko Portugalii</w:t>
        </w:r>
      </w:hyperlink>
      <w:r w:rsidR="00BC2D38">
        <w:t xml:space="preserve"> [WI], skargi nr 55391/13 i 2 inne, 6 listopada 2018 r.</w:t>
      </w:r>
    </w:p>
    <w:p w:rsidR="00BC2D38" w:rsidRDefault="00BC2D38" w:rsidP="00C766BA">
      <w:pPr>
        <w:pStyle w:val="ECHRParaSpaced"/>
        <w:rPr>
          <w:lang w:val="pt-PT"/>
        </w:rPr>
      </w:pPr>
    </w:p>
    <w:p w:rsidR="00BC2D38" w:rsidRPr="00C766BA" w:rsidRDefault="00BC2D38" w:rsidP="00C766BA">
      <w:pPr>
        <w:pStyle w:val="ECHRParaSpaced"/>
        <w:spacing w:before="240" w:after="0"/>
        <w:rPr>
          <w:b/>
          <w:bCs/>
          <w:sz w:val="24"/>
          <w:szCs w:val="24"/>
        </w:rPr>
      </w:pPr>
      <w:r>
        <w:rPr>
          <w:b/>
          <w:bCs/>
          <w:sz w:val="24"/>
          <w:szCs w:val="24"/>
        </w:rPr>
        <w:t>Inne sprawy</w:t>
      </w:r>
    </w:p>
    <w:p w:rsidR="00BC2D38" w:rsidRPr="00C41ADF" w:rsidRDefault="003F0A31" w:rsidP="004E10A3">
      <w:pPr>
        <w:pStyle w:val="ECHRBullet1"/>
        <w:rPr>
          <w:rFonts w:cs="Times New Roman"/>
        </w:rPr>
      </w:pPr>
      <w:hyperlink r:id="rId245" w:history="1">
        <w:r w:rsidR="00BC2D38">
          <w:rPr>
            <w:rStyle w:val="Hipercze"/>
            <w:i/>
            <w:iCs/>
          </w:rPr>
          <w:t>Daktaras przeciwko Litwie</w:t>
        </w:r>
      </w:hyperlink>
      <w:r w:rsidR="00BC2D38">
        <w:t>, skarga nr 42095/98, 10 października 2000 r. (artykuł 6 ust. 2)</w:t>
      </w:r>
    </w:p>
    <w:p w:rsidR="00BC2D38" w:rsidRPr="00C41ADF" w:rsidRDefault="003F0A31" w:rsidP="004E10A3">
      <w:pPr>
        <w:pStyle w:val="ECHRBullet1"/>
        <w:rPr>
          <w:rFonts w:cs="Times New Roman"/>
        </w:rPr>
      </w:pPr>
      <w:hyperlink r:id="rId246" w:history="1">
        <w:r w:rsidR="00BC2D38">
          <w:rPr>
            <w:rStyle w:val="Hipercze"/>
            <w:i/>
            <w:iCs/>
          </w:rPr>
          <w:t>Butkevičius przeciwko Litwie</w:t>
        </w:r>
      </w:hyperlink>
      <w:r w:rsidR="00BC2D38">
        <w:t>, skarga nr 48297/99, 26 marca 2002 r. (artykuł 6 ust. 2)</w:t>
      </w:r>
    </w:p>
    <w:p w:rsidR="00BC2D38" w:rsidRPr="00C41ADF" w:rsidRDefault="003F0A31" w:rsidP="004E10A3">
      <w:pPr>
        <w:pStyle w:val="ECHRBullet1"/>
        <w:rPr>
          <w:rFonts w:cs="Times New Roman"/>
        </w:rPr>
      </w:pPr>
      <w:hyperlink r:id="rId247" w:history="1">
        <w:r w:rsidR="00BC2D38">
          <w:rPr>
            <w:rStyle w:val="Hipercze"/>
            <w:i/>
            <w:iCs/>
          </w:rPr>
          <w:t>Lavents przeciwko Łotwie</w:t>
        </w:r>
      </w:hyperlink>
      <w:r w:rsidR="00BC2D38">
        <w:t>, skarga nr 58442/00, 28 listopada 2002 r. (artykuł 6 ust. 2)</w:t>
      </w:r>
    </w:p>
    <w:p w:rsidR="00BC2D38" w:rsidRPr="00986F46" w:rsidRDefault="003F0A31" w:rsidP="004E10A3">
      <w:pPr>
        <w:pStyle w:val="ECHRBullet1"/>
        <w:rPr>
          <w:rFonts w:cs="Times New Roman"/>
        </w:rPr>
      </w:pPr>
      <w:hyperlink r:id="rId248" w:history="1">
        <w:r w:rsidR="00BC2D38">
          <w:rPr>
            <w:rStyle w:val="Hipercze"/>
            <w:i/>
            <w:iCs/>
          </w:rPr>
          <w:t>Harabin przeciwko Słowacji</w:t>
        </w:r>
      </w:hyperlink>
      <w:r w:rsidR="00BC2D38">
        <w:rPr>
          <w:i/>
          <w:iCs/>
        </w:rPr>
        <w:t xml:space="preserve"> </w:t>
      </w:r>
      <w:r w:rsidR="00BC2D38">
        <w:t>(dec.), skarga nr 62584/00, 29 czerwca 2004 r.</w:t>
      </w:r>
    </w:p>
    <w:p w:rsidR="00BC2D38" w:rsidRPr="00C41ADF" w:rsidRDefault="003F0A31" w:rsidP="004E10A3">
      <w:pPr>
        <w:pStyle w:val="ECHRBullet1"/>
        <w:rPr>
          <w:rFonts w:cs="Times New Roman"/>
        </w:rPr>
      </w:pPr>
      <w:hyperlink r:id="rId249" w:history="1">
        <w:r w:rsidR="00BC2D38">
          <w:rPr>
            <w:rStyle w:val="Hipercze"/>
            <w:i/>
            <w:iCs/>
          </w:rPr>
          <w:t>Vilho Eskelinen i inni przeciwko Finlandii</w:t>
        </w:r>
      </w:hyperlink>
      <w:r w:rsidR="00BC2D38">
        <w:t xml:space="preserve"> [WI], skarga nr 63235/00, 19 kwietnia 2007 r.</w:t>
      </w:r>
    </w:p>
    <w:p w:rsidR="00BC2D38" w:rsidRPr="00C41ADF" w:rsidRDefault="003F0A31" w:rsidP="004E10A3">
      <w:pPr>
        <w:pStyle w:val="ECHRBullet1"/>
        <w:rPr>
          <w:rFonts w:cs="Times New Roman"/>
        </w:rPr>
      </w:pPr>
      <w:hyperlink r:id="rId250" w:history="1">
        <w:r w:rsidR="00BC2D38">
          <w:rPr>
            <w:i/>
            <w:iCs/>
            <w:color w:val="0072BC"/>
            <w:u w:val="single"/>
          </w:rPr>
          <w:t>Petrova i Chornobryvets przeciwko Ukrainie</w:t>
        </w:r>
      </w:hyperlink>
      <w:r w:rsidR="00BC2D38">
        <w:t>, skargi nr 6360/04 i 16820/04, 15 maja 2008 r.</w:t>
      </w:r>
    </w:p>
    <w:p w:rsidR="00BC2D38" w:rsidRPr="00986F46" w:rsidRDefault="003F0A31" w:rsidP="004E10A3">
      <w:pPr>
        <w:pStyle w:val="ECHRBullet1"/>
        <w:rPr>
          <w:rFonts w:cs="Times New Roman"/>
        </w:rPr>
      </w:pPr>
      <w:hyperlink r:id="rId251" w:history="1">
        <w:r w:rsidR="00BC2D38">
          <w:rPr>
            <w:i/>
            <w:iCs/>
            <w:color w:val="0072BC"/>
            <w:u w:val="single"/>
          </w:rPr>
          <w:t>Olujić przeciwko Chorwacji</w:t>
        </w:r>
      </w:hyperlink>
      <w:r w:rsidR="00BC2D38">
        <w:t>, skarga nr 22330/05, 5 lutego 2009 r.</w:t>
      </w:r>
    </w:p>
    <w:p w:rsidR="00BC2D38" w:rsidRPr="00C41ADF" w:rsidRDefault="003F0A31" w:rsidP="004E10A3">
      <w:pPr>
        <w:pStyle w:val="ECHRBullet1"/>
        <w:rPr>
          <w:rFonts w:cs="Times New Roman"/>
        </w:rPr>
      </w:pPr>
      <w:hyperlink r:id="rId252" w:history="1">
        <w:r w:rsidR="00BC2D38">
          <w:rPr>
            <w:i/>
            <w:iCs/>
            <w:color w:val="0072BC"/>
            <w:u w:val="single"/>
          </w:rPr>
          <w:t>Tosti przeciwko Włochom</w:t>
        </w:r>
      </w:hyperlink>
      <w:r w:rsidR="00BC2D38">
        <w:t xml:space="preserve"> (dec.), skarga nr 27791/06, 12 maja 2009 r.</w:t>
      </w:r>
    </w:p>
    <w:p w:rsidR="00BC2D38" w:rsidRPr="00C41ADF" w:rsidRDefault="003F0A31" w:rsidP="004E10A3">
      <w:pPr>
        <w:pStyle w:val="ECHRBullet1"/>
        <w:rPr>
          <w:rFonts w:cs="Times New Roman"/>
        </w:rPr>
      </w:pPr>
      <w:hyperlink r:id="rId253" w:history="1">
        <w:r w:rsidR="00BC2D38">
          <w:rPr>
            <w:rStyle w:val="Hipercze"/>
            <w:i/>
            <w:iCs/>
          </w:rPr>
          <w:t>Micallef przeciwko Malcie</w:t>
        </w:r>
      </w:hyperlink>
      <w:r w:rsidR="00BC2D38">
        <w:t xml:space="preserve"> [WI], skarga nr 17056/06, 15 października 2009 r.</w:t>
      </w:r>
    </w:p>
    <w:p w:rsidR="00BC2D38" w:rsidRPr="00C41ADF" w:rsidRDefault="003F0A31" w:rsidP="004E10A3">
      <w:pPr>
        <w:pStyle w:val="ECHRBullet1"/>
        <w:rPr>
          <w:rFonts w:cs="Times New Roman"/>
        </w:rPr>
      </w:pPr>
      <w:hyperlink r:id="rId254" w:history="1">
        <w:r w:rsidR="00BC2D38">
          <w:rPr>
            <w:rStyle w:val="Hipercze"/>
            <w:i/>
            <w:iCs/>
          </w:rPr>
          <w:t>Fatullayev przeciwko Azerbejdżanowi</w:t>
        </w:r>
      </w:hyperlink>
      <w:r w:rsidR="00BC2D38">
        <w:t>, skarga nr 40984/07</w:t>
      </w:r>
      <w:r w:rsidR="00BC2D38">
        <w:rPr>
          <w:snapToGrid w:val="0"/>
        </w:rPr>
        <w:t>, 22 kwietnia 2010 r.</w:t>
      </w:r>
    </w:p>
    <w:p w:rsidR="00BC2D38" w:rsidRPr="00986F46" w:rsidRDefault="003F0A31" w:rsidP="004E10A3">
      <w:pPr>
        <w:pStyle w:val="ECHRBullet1"/>
        <w:rPr>
          <w:rFonts w:cs="Times New Roman"/>
        </w:rPr>
      </w:pPr>
      <w:hyperlink r:id="rId255" w:history="1">
        <w:r w:rsidR="00BC2D38">
          <w:rPr>
            <w:rStyle w:val="Hipercze"/>
            <w:i/>
            <w:iCs/>
          </w:rPr>
          <w:t>Juričić przeciwko Chorwacji</w:t>
        </w:r>
      </w:hyperlink>
      <w:r w:rsidR="00BC2D38">
        <w:t>, skarga nr 58222/09, 26 lipca 2011 r.</w:t>
      </w:r>
    </w:p>
    <w:p w:rsidR="00BC2D38" w:rsidRPr="00986F46" w:rsidRDefault="003F0A31" w:rsidP="004E10A3">
      <w:pPr>
        <w:pStyle w:val="ECHRBullet1"/>
        <w:rPr>
          <w:rFonts w:cs="Times New Roman"/>
          <w:snapToGrid w:val="0"/>
        </w:rPr>
      </w:pPr>
      <w:hyperlink r:id="rId256" w:history="1">
        <w:r w:rsidR="00BC2D38">
          <w:rPr>
            <w:rStyle w:val="Hipercze"/>
            <w:i/>
            <w:iCs/>
            <w:snapToGrid w:val="0"/>
          </w:rPr>
          <w:t>Dzhidzheva-Trendafilova przeciwko Bułgarii</w:t>
        </w:r>
      </w:hyperlink>
      <w:r w:rsidR="00BC2D38">
        <w:rPr>
          <w:snapToGrid w:val="0"/>
        </w:rPr>
        <w:t xml:space="preserve"> (dec.), skarga nr 12628/09, 9 października 2012 r.</w:t>
      </w:r>
    </w:p>
    <w:p w:rsidR="00BC2D38" w:rsidRPr="00D24DF9" w:rsidRDefault="003F0A31" w:rsidP="004E10A3">
      <w:pPr>
        <w:pStyle w:val="ECHRBullet1"/>
        <w:rPr>
          <w:rFonts w:cs="Times New Roman"/>
          <w:snapToGrid w:val="0"/>
        </w:rPr>
      </w:pPr>
      <w:hyperlink r:id="rId257" w:history="1">
        <w:r w:rsidR="00BC2D38">
          <w:rPr>
            <w:rStyle w:val="Hipercze"/>
            <w:i/>
            <w:iCs/>
          </w:rPr>
          <w:t>Harabin przeciwko Słowacji</w:t>
        </w:r>
      </w:hyperlink>
      <w:r w:rsidR="00BC2D38">
        <w:t>, skarga nr 58688/11</w:t>
      </w:r>
      <w:r w:rsidR="00BC2D38">
        <w:rPr>
          <w:snapToGrid w:val="0"/>
        </w:rPr>
        <w:t>, 20 listopada 2012 r.</w:t>
      </w:r>
    </w:p>
    <w:p w:rsidR="00BC2D38" w:rsidRPr="00D24DF9" w:rsidRDefault="003F0A31" w:rsidP="004E10A3">
      <w:pPr>
        <w:pStyle w:val="ECHRBullet1"/>
        <w:rPr>
          <w:rFonts w:cs="Times New Roman"/>
        </w:rPr>
      </w:pPr>
      <w:hyperlink r:id="rId258" w:history="1">
        <w:r w:rsidR="00BC2D38">
          <w:rPr>
            <w:i/>
            <w:iCs/>
            <w:color w:val="0072BC"/>
            <w:u w:val="single"/>
          </w:rPr>
          <w:t>Di Giovanni</w:t>
        </w:r>
        <w:r w:rsidR="00BC2D38">
          <w:rPr>
            <w:snapToGrid w:val="0"/>
            <w:color w:val="0072BC"/>
            <w:u w:val="single"/>
          </w:rPr>
          <w:t xml:space="preserve"> </w:t>
        </w:r>
        <w:r w:rsidR="00BC2D38">
          <w:rPr>
            <w:i/>
            <w:iCs/>
            <w:color w:val="0072BC"/>
            <w:u w:val="single"/>
          </w:rPr>
          <w:t>przeciwko Włochom</w:t>
        </w:r>
      </w:hyperlink>
      <w:r w:rsidR="00BC2D38">
        <w:rPr>
          <w:snapToGrid w:val="0"/>
        </w:rPr>
        <w:t>, skarga nr 51160/06, 9 lipca 2013 r.</w:t>
      </w:r>
    </w:p>
    <w:p w:rsidR="00BC2D38" w:rsidRPr="00986F46" w:rsidRDefault="003F0A31" w:rsidP="004E10A3">
      <w:pPr>
        <w:pStyle w:val="ECHRBullet1"/>
        <w:rPr>
          <w:rFonts w:cs="Times New Roman"/>
        </w:rPr>
      </w:pPr>
      <w:hyperlink r:id="rId259" w:history="1">
        <w:r w:rsidR="00BC2D38">
          <w:rPr>
            <w:rStyle w:val="Hipercze"/>
            <w:i/>
            <w:iCs/>
          </w:rPr>
          <w:t>Gutsanovi przeciwko Bułgarii</w:t>
        </w:r>
      </w:hyperlink>
      <w:r w:rsidR="00BC2D38">
        <w:t>, skarga nr 34529/10</w:t>
      </w:r>
      <w:r w:rsidR="00BC2D38">
        <w:rPr>
          <w:snapToGrid w:val="0"/>
        </w:rPr>
        <w:t xml:space="preserve">, 15 października 2013 r. </w:t>
      </w:r>
      <w:r w:rsidR="00BC2D38">
        <w:t>(art. 6 ust. 2)</w:t>
      </w:r>
    </w:p>
    <w:p w:rsidR="00BC2D38" w:rsidRDefault="003F0A31" w:rsidP="004E10A3">
      <w:pPr>
        <w:pStyle w:val="ECHRBullet1"/>
      </w:pPr>
      <w:hyperlink r:id="rId260" w:history="1">
        <w:r w:rsidR="00BC2D38">
          <w:rPr>
            <w:rStyle w:val="Hipercze"/>
            <w:i/>
            <w:iCs/>
          </w:rPr>
          <w:t>Smiljan Pervan przeciwko Chorwacji</w:t>
        </w:r>
      </w:hyperlink>
      <w:r w:rsidR="00BC2D38">
        <w:t xml:space="preserve"> (dec.), skarga nr 31383/13, 4 marca 2014 r.</w:t>
      </w:r>
    </w:p>
    <w:p w:rsidR="00BC2D38" w:rsidRPr="00C41ADF" w:rsidRDefault="003F0A31" w:rsidP="004E10A3">
      <w:pPr>
        <w:pStyle w:val="ECHRBullet1"/>
        <w:rPr>
          <w:rFonts w:cs="Times New Roman"/>
        </w:rPr>
      </w:pPr>
      <w:hyperlink r:id="rId261" w:history="1">
        <w:r w:rsidR="00BC2D38">
          <w:rPr>
            <w:rStyle w:val="Hipercze"/>
            <w:i/>
            <w:iCs/>
          </w:rPr>
          <w:t>Mitrinovski przeciwko byłej Jugosłowiańskiej Republice Macedonii</w:t>
        </w:r>
      </w:hyperlink>
      <w:r w:rsidR="00BC2D38">
        <w:t>, skarga nr 6899/12</w:t>
      </w:r>
      <w:r w:rsidR="00BC2D38">
        <w:rPr>
          <w:snapToGrid w:val="0"/>
        </w:rPr>
        <w:t xml:space="preserve">, 30 </w:t>
      </w:r>
      <w:r w:rsidR="00BC2D38">
        <w:t>kwietnia</w:t>
      </w:r>
      <w:r w:rsidR="00BC2D38">
        <w:rPr>
          <w:snapToGrid w:val="0"/>
        </w:rPr>
        <w:t xml:space="preserve"> 2015 r.</w:t>
      </w:r>
    </w:p>
    <w:p w:rsidR="00BC2D38" w:rsidRPr="00986F46" w:rsidRDefault="003F0A31" w:rsidP="004E10A3">
      <w:pPr>
        <w:pStyle w:val="ECHRBullet1"/>
        <w:rPr>
          <w:rFonts w:cs="Times New Roman"/>
        </w:rPr>
      </w:pPr>
      <w:hyperlink r:id="rId262" w:history="1">
        <w:r w:rsidR="00BC2D38">
          <w:rPr>
            <w:rStyle w:val="Hipercze"/>
            <w:i/>
            <w:iCs/>
          </w:rPr>
          <w:t>Tsanova-Gecheva</w:t>
        </w:r>
        <w:r w:rsidR="00BC2D38">
          <w:rPr>
            <w:rStyle w:val="Hipercze"/>
          </w:rPr>
          <w:t xml:space="preserve"> </w:t>
        </w:r>
        <w:r w:rsidR="00BC2D38">
          <w:rPr>
            <w:rStyle w:val="Hipercze"/>
            <w:i/>
            <w:iCs/>
          </w:rPr>
          <w:t>przeciwko Bułgarii</w:t>
        </w:r>
      </w:hyperlink>
      <w:r w:rsidR="00BC2D38">
        <w:t>, skarga nr 43800/12,</w:t>
      </w:r>
      <w:r w:rsidR="00BC2D38">
        <w:rPr>
          <w:snapToGrid w:val="0"/>
        </w:rPr>
        <w:t xml:space="preserve"> 15 września 2015 r.</w:t>
      </w:r>
    </w:p>
    <w:p w:rsidR="00BC2D38" w:rsidRDefault="003F0A31" w:rsidP="004E10A3">
      <w:pPr>
        <w:pStyle w:val="ECHRBullet1"/>
      </w:pPr>
      <w:hyperlink r:id="rId263" w:history="1">
        <w:r w:rsidR="00BC2D38">
          <w:rPr>
            <w:rStyle w:val="Hipercze"/>
            <w:i/>
            <w:iCs/>
          </w:rPr>
          <w:t>Slavov i Inni przeciwko Bułgarii</w:t>
        </w:r>
      </w:hyperlink>
      <w:r w:rsidR="00BC2D38">
        <w:t>, skarga nr 58500/10,</w:t>
      </w:r>
      <w:r w:rsidR="00BC2D38">
        <w:rPr>
          <w:snapToGrid w:val="0"/>
        </w:rPr>
        <w:t xml:space="preserve"> 10 listopada 2015 r. </w:t>
      </w:r>
      <w:r w:rsidR="00BC2D38">
        <w:t>(art. 6 ust. 2)</w:t>
      </w:r>
    </w:p>
    <w:p w:rsidR="00BC2D38" w:rsidRDefault="003F0A31" w:rsidP="004E10A3">
      <w:pPr>
        <w:pStyle w:val="ECHRBullet1"/>
      </w:pPr>
      <w:hyperlink r:id="rId264" w:history="1">
        <w:r w:rsidR="00BC2D38">
          <w:rPr>
            <w:rStyle w:val="Hipercze"/>
            <w:i/>
            <w:iCs/>
          </w:rPr>
          <w:t>Poposki i Duma przeciwko byłej Jugosłowiańskiej Republice Macedonii</w:t>
        </w:r>
      </w:hyperlink>
      <w:r w:rsidR="00BC2D38">
        <w:t>, skargi nr 69916/10 i 36531/11</w:t>
      </w:r>
      <w:r w:rsidR="00BC2D38">
        <w:rPr>
          <w:snapToGrid w:val="0"/>
        </w:rPr>
        <w:t xml:space="preserve">, </w:t>
      </w:r>
      <w:r w:rsidR="00BC2D38">
        <w:t>7</w:t>
      </w:r>
      <w:r w:rsidR="00BC2D38">
        <w:rPr>
          <w:snapToGrid w:val="0"/>
        </w:rPr>
        <w:t xml:space="preserve"> </w:t>
      </w:r>
      <w:r w:rsidR="00BC2D38">
        <w:t xml:space="preserve">stycznia 2016 r. </w:t>
      </w:r>
    </w:p>
    <w:p w:rsidR="00BC2D38" w:rsidRPr="00C41ADF" w:rsidRDefault="003F0A31" w:rsidP="004E10A3">
      <w:pPr>
        <w:pStyle w:val="ECHRBullet1"/>
        <w:rPr>
          <w:rFonts w:cs="Times New Roman"/>
        </w:rPr>
      </w:pPr>
      <w:hyperlink r:id="rId265" w:history="1">
        <w:r w:rsidR="00BC2D38">
          <w:rPr>
            <w:i/>
            <w:iCs/>
            <w:color w:val="0072BC"/>
            <w:u w:val="single"/>
          </w:rPr>
          <w:t>Kulykov i Inni przeciwko Ukrainie</w:t>
        </w:r>
      </w:hyperlink>
      <w:r w:rsidR="00BC2D38">
        <w:t>, skargi nr 5114/09 i 17 innych, 19 stycznia 2017 r.</w:t>
      </w:r>
    </w:p>
    <w:p w:rsidR="00BC2D38" w:rsidRPr="00C41ADF" w:rsidRDefault="003F0A31" w:rsidP="004E10A3">
      <w:pPr>
        <w:pStyle w:val="ECHRBullet1"/>
        <w:rPr>
          <w:rFonts w:cs="Times New Roman"/>
          <w:u w:val="single"/>
        </w:rPr>
      </w:pPr>
      <w:hyperlink r:id="rId266" w:history="1">
        <w:r w:rsidR="00BC2D38">
          <w:rPr>
            <w:i/>
            <w:iCs/>
            <w:color w:val="0072BC"/>
            <w:u w:val="single"/>
          </w:rPr>
          <w:t>Sturua przeciwko Gruzji</w:t>
        </w:r>
      </w:hyperlink>
      <w:r w:rsidR="00BC2D38">
        <w:t>, skarga nr 45729/05, 28 marca 2017 r.</w:t>
      </w:r>
    </w:p>
    <w:p w:rsidR="00BC2D38" w:rsidRPr="00D24DF9" w:rsidRDefault="003F0A31" w:rsidP="004E10A3">
      <w:pPr>
        <w:pStyle w:val="ECHRBullet1"/>
        <w:rPr>
          <w:rFonts w:cs="Times New Roman"/>
        </w:rPr>
      </w:pPr>
      <w:hyperlink r:id="rId267" w:history="1">
        <w:r w:rsidR="00BC2D38">
          <w:rPr>
            <w:i/>
            <w:iCs/>
            <w:color w:val="0072BC"/>
            <w:u w:val="single"/>
          </w:rPr>
          <w:t>Paluda przeciwko Słowacji</w:t>
        </w:r>
      </w:hyperlink>
      <w:r w:rsidR="00BC2D38">
        <w:t>, skarga nr 33392/12, 23 maja 2017 r.</w:t>
      </w:r>
    </w:p>
    <w:p w:rsidR="00BC2D38" w:rsidRPr="00986F46" w:rsidRDefault="003F0A31" w:rsidP="004E10A3">
      <w:pPr>
        <w:pStyle w:val="ECHRBullet1"/>
        <w:rPr>
          <w:rFonts w:cs="Times New Roman"/>
        </w:rPr>
      </w:pPr>
      <w:hyperlink r:id="rId268" w:history="1">
        <w:r w:rsidR="00BC2D38">
          <w:rPr>
            <w:i/>
            <w:iCs/>
            <w:color w:val="0072BC"/>
            <w:u w:val="single"/>
          </w:rPr>
          <w:t>Kamenos przeciwko Cyprowi</w:t>
        </w:r>
      </w:hyperlink>
      <w:r w:rsidR="00BC2D38">
        <w:t>, skarga nr 147/07, 31 października 2017 r.</w:t>
      </w:r>
    </w:p>
    <w:p w:rsidR="00BC2D38" w:rsidRDefault="003F0A31" w:rsidP="004E10A3">
      <w:pPr>
        <w:pStyle w:val="ECHRBullet1"/>
      </w:pPr>
      <w:hyperlink r:id="rId269" w:history="1">
        <w:r w:rsidR="00BC2D38">
          <w:rPr>
            <w:rStyle w:val="Hipercze"/>
            <w:i/>
            <w:iCs/>
          </w:rPr>
          <w:t>Chim i Przywieczerski przeciwko Polsce</w:t>
        </w:r>
      </w:hyperlink>
      <w:r w:rsidR="00BC2D38">
        <w:t>, skargi nr 36661/07 i 38433/07, 12 kwietnia 2018 r.</w:t>
      </w:r>
    </w:p>
    <w:p w:rsidR="00BC2D38" w:rsidRDefault="003F0A31" w:rsidP="00C766BA">
      <w:pPr>
        <w:pStyle w:val="ECHRBullet1"/>
      </w:pPr>
      <w:hyperlink r:id="rId270" w:history="1">
        <w:r w:rsidR="00BC2D38">
          <w:rPr>
            <w:rStyle w:val="Hipercze"/>
            <w:i/>
            <w:iCs/>
          </w:rPr>
          <w:t>Maslarova przeciwko Bułgarii</w:t>
        </w:r>
      </w:hyperlink>
      <w:r w:rsidR="00BC2D38">
        <w:t>, skarga nr 26966/10, 31 stycznia 2019 r.</w:t>
      </w:r>
    </w:p>
    <w:p w:rsidR="00BC2D38" w:rsidRDefault="00BC2D38" w:rsidP="00C766BA">
      <w:pPr>
        <w:pStyle w:val="ECHRParaSpaced"/>
        <w:rPr>
          <w:lang w:val="pt-PT"/>
        </w:rPr>
      </w:pPr>
    </w:p>
    <w:p w:rsidR="00BC2D38" w:rsidRDefault="00BC2D38" w:rsidP="00C766BA">
      <w:pPr>
        <w:pStyle w:val="ECHRParaSpaced"/>
        <w:rPr>
          <w:lang w:val="pt-PT"/>
        </w:rPr>
      </w:pPr>
    </w:p>
    <w:p w:rsidR="00BC2D38" w:rsidRPr="0004247A" w:rsidRDefault="00BC2D38" w:rsidP="00C766BA">
      <w:pPr>
        <w:pStyle w:val="ECHRParaSpaced"/>
        <w:spacing w:before="240" w:after="0"/>
        <w:rPr>
          <w:b/>
          <w:bCs/>
          <w:sz w:val="28"/>
          <w:szCs w:val="28"/>
        </w:rPr>
      </w:pPr>
      <w:r>
        <w:rPr>
          <w:b/>
          <w:bCs/>
          <w:sz w:val="28"/>
          <w:szCs w:val="28"/>
        </w:rPr>
        <w:t>Sprawy na podstawie art. 8</w:t>
      </w:r>
    </w:p>
    <w:p w:rsidR="00BC2D38" w:rsidRDefault="003F0A31" w:rsidP="004E10A3">
      <w:pPr>
        <w:pStyle w:val="ECHRBullet1"/>
      </w:pPr>
      <w:hyperlink r:id="rId271" w:history="1">
        <w:r w:rsidR="00BC2D38">
          <w:rPr>
            <w:i/>
            <w:iCs/>
            <w:color w:val="0072BC"/>
            <w:u w:val="single"/>
          </w:rPr>
          <w:t>Özpınar przeciwko Turcji</w:t>
        </w:r>
      </w:hyperlink>
      <w:r w:rsidR="00BC2D38">
        <w:t>, skarga nr 20999/04, 19 października 2010 r.</w:t>
      </w:r>
    </w:p>
    <w:p w:rsidR="00BC2D38" w:rsidRDefault="003F0A31" w:rsidP="004E10A3">
      <w:pPr>
        <w:pStyle w:val="ECHRBullet1"/>
      </w:pPr>
      <w:hyperlink r:id="rId272" w:history="1">
        <w:r w:rsidR="00BC2D38">
          <w:rPr>
            <w:rStyle w:val="Hipercze"/>
            <w:i/>
            <w:iCs/>
          </w:rPr>
          <w:t>Oleksandr Volkov przeciwko Ukrainie</w:t>
        </w:r>
      </w:hyperlink>
      <w:r w:rsidR="00BC2D38">
        <w:t>, skarga nr 21722/11</w:t>
      </w:r>
      <w:r w:rsidR="00BC2D38">
        <w:rPr>
          <w:snapToGrid w:val="0"/>
        </w:rPr>
        <w:t xml:space="preserve">, </w:t>
      </w:r>
      <w:r w:rsidR="00BC2D38">
        <w:t>9 stycznia 2013 r.</w:t>
      </w:r>
    </w:p>
    <w:p w:rsidR="00BC2D38" w:rsidRPr="00C41ADF" w:rsidRDefault="003F0A31" w:rsidP="004E10A3">
      <w:pPr>
        <w:pStyle w:val="ECHRBullet1"/>
        <w:rPr>
          <w:rFonts w:cs="Times New Roman"/>
        </w:rPr>
      </w:pPr>
      <w:hyperlink r:id="rId273" w:history="1">
        <w:r w:rsidR="00BC2D38">
          <w:rPr>
            <w:rStyle w:val="Hipercze"/>
            <w:i/>
            <w:iCs/>
          </w:rPr>
          <w:t>Kulykov i Inni przeciwko Ukrainie</w:t>
        </w:r>
      </w:hyperlink>
      <w:r w:rsidR="00BC2D38">
        <w:t>, skargi nr 5114/09 i 17 innych, 19 stycznia 2017 r.</w:t>
      </w:r>
    </w:p>
    <w:p w:rsidR="00BC2D38" w:rsidRPr="00C41ADF" w:rsidRDefault="003F0A31" w:rsidP="004E10A3">
      <w:pPr>
        <w:pStyle w:val="ECHRBullet1"/>
        <w:rPr>
          <w:rFonts w:cs="Times New Roman"/>
        </w:rPr>
      </w:pPr>
      <w:hyperlink r:id="rId274" w:history="1">
        <w:r w:rsidR="00BC2D38">
          <w:rPr>
            <w:i/>
            <w:iCs/>
            <w:color w:val="0072BC"/>
            <w:u w:val="single"/>
          </w:rPr>
          <w:t>Denisov przeciwko Ukrainie</w:t>
        </w:r>
      </w:hyperlink>
      <w:r w:rsidR="00BC2D38">
        <w:rPr>
          <w:i/>
          <w:iCs/>
        </w:rPr>
        <w:t xml:space="preserve"> </w:t>
      </w:r>
      <w:r w:rsidR="00BC2D38">
        <w:t xml:space="preserve">[WI], skarga nr 76639/11, 25 września 2018 r. </w:t>
      </w:r>
    </w:p>
    <w:p w:rsidR="00BC2D38" w:rsidRPr="00C41ADF" w:rsidRDefault="003F0A31" w:rsidP="004E10A3">
      <w:pPr>
        <w:pStyle w:val="ECHRBullet1"/>
        <w:rPr>
          <w:rFonts w:cs="Times New Roman"/>
        </w:rPr>
      </w:pPr>
      <w:hyperlink r:id="rId275" w:history="1">
        <w:r w:rsidR="00BC2D38">
          <w:rPr>
            <w:rStyle w:val="Hipercze"/>
            <w:i/>
            <w:iCs/>
          </w:rPr>
          <w:t>J.B. i Inni przeciwko Węgrom</w:t>
        </w:r>
      </w:hyperlink>
      <w:r w:rsidR="00BC2D38">
        <w:t xml:space="preserve"> (dec.), skargi nr 45434/12 i 2 inne, 17 listopada 2018 r.</w:t>
      </w:r>
    </w:p>
    <w:p w:rsidR="00BC2D38" w:rsidRDefault="00BC2D38" w:rsidP="00C766BA">
      <w:pPr>
        <w:pStyle w:val="ECHRParaSpaced"/>
      </w:pPr>
    </w:p>
    <w:p w:rsidR="00BC2D38" w:rsidRPr="0004247A" w:rsidRDefault="00BC2D38" w:rsidP="00C766BA">
      <w:pPr>
        <w:pStyle w:val="ECHRParaSpaced"/>
        <w:spacing w:before="240" w:after="0"/>
        <w:rPr>
          <w:b/>
          <w:bCs/>
          <w:sz w:val="28"/>
          <w:szCs w:val="28"/>
        </w:rPr>
      </w:pPr>
      <w:r>
        <w:rPr>
          <w:b/>
          <w:bCs/>
          <w:sz w:val="28"/>
          <w:szCs w:val="28"/>
        </w:rPr>
        <w:t>Sprawy na podstawie art. 9</w:t>
      </w:r>
    </w:p>
    <w:p w:rsidR="00BC2D38" w:rsidRPr="00C41ADF" w:rsidRDefault="003F0A31" w:rsidP="00C766BA">
      <w:pPr>
        <w:pStyle w:val="ECHRBullet1"/>
        <w:rPr>
          <w:rFonts w:cs="Times New Roman"/>
        </w:rPr>
      </w:pPr>
      <w:hyperlink r:id="rId276" w:history="1">
        <w:r w:rsidR="00BC2D38">
          <w:rPr>
            <w:i/>
            <w:iCs/>
            <w:color w:val="0072BC"/>
            <w:u w:val="single"/>
          </w:rPr>
          <w:t>Pitkevich przeciwko Rosji</w:t>
        </w:r>
      </w:hyperlink>
      <w:r w:rsidR="00BC2D38">
        <w:t xml:space="preserve"> (dec.), skarga nr 47936/99, 8 lutego 2001 r.</w:t>
      </w:r>
    </w:p>
    <w:p w:rsidR="00BC2D38" w:rsidRDefault="00BC2D38" w:rsidP="00C766BA">
      <w:pPr>
        <w:pStyle w:val="ECHRParaSpaced"/>
      </w:pPr>
    </w:p>
    <w:p w:rsidR="00BC2D38" w:rsidRDefault="00BC2D38" w:rsidP="00C766BA">
      <w:pPr>
        <w:pStyle w:val="ECHRParaSpaced"/>
        <w:spacing w:before="240" w:after="0"/>
        <w:rPr>
          <w:b/>
          <w:bCs/>
          <w:sz w:val="28"/>
          <w:szCs w:val="28"/>
        </w:rPr>
      </w:pPr>
      <w:r>
        <w:rPr>
          <w:b/>
          <w:bCs/>
          <w:sz w:val="28"/>
          <w:szCs w:val="28"/>
        </w:rPr>
        <w:t>Sprawy na podstawie art. 10</w:t>
      </w:r>
    </w:p>
    <w:p w:rsidR="00BC2D38" w:rsidRDefault="00BC2D38" w:rsidP="00C766BA">
      <w:pPr>
        <w:pStyle w:val="ECHRParaSpaced"/>
        <w:spacing w:before="240" w:after="0"/>
        <w:rPr>
          <w:b/>
          <w:bCs/>
          <w:sz w:val="24"/>
          <w:szCs w:val="24"/>
        </w:rPr>
      </w:pPr>
      <w:r>
        <w:rPr>
          <w:b/>
          <w:bCs/>
          <w:sz w:val="24"/>
          <w:szCs w:val="24"/>
        </w:rPr>
        <w:t>Oświadczenia członków sądownictwa</w:t>
      </w:r>
    </w:p>
    <w:p w:rsidR="00BC2D38" w:rsidRPr="00C766BA" w:rsidRDefault="00BC2D38" w:rsidP="00C766BA">
      <w:pPr>
        <w:pStyle w:val="ECHRParaSpaced"/>
        <w:spacing w:before="240" w:after="0"/>
        <w:rPr>
          <w:b/>
          <w:bCs/>
          <w:color w:val="5F5F5F"/>
          <w:sz w:val="24"/>
          <w:szCs w:val="24"/>
        </w:rPr>
      </w:pPr>
      <w:r>
        <w:rPr>
          <w:b/>
          <w:bCs/>
          <w:color w:val="5F5F5F"/>
          <w:sz w:val="24"/>
          <w:szCs w:val="24"/>
        </w:rPr>
        <w:t>Sprawy główne</w:t>
      </w:r>
    </w:p>
    <w:p w:rsidR="00BC2D38" w:rsidRPr="00986F46" w:rsidRDefault="003F0A31" w:rsidP="004E10A3">
      <w:pPr>
        <w:pStyle w:val="ECHRBullet1"/>
        <w:rPr>
          <w:rFonts w:cs="Times New Roman"/>
        </w:rPr>
      </w:pPr>
      <w:hyperlink r:id="rId277" w:history="1">
        <w:r w:rsidR="00BC2D38">
          <w:rPr>
            <w:i/>
            <w:iCs/>
            <w:color w:val="0072BC"/>
            <w:u w:val="single"/>
          </w:rPr>
          <w:t>Wille przeciwko Liechtensteinowi</w:t>
        </w:r>
      </w:hyperlink>
      <w:r w:rsidR="00BC2D38">
        <w:t xml:space="preserve"> [WI], skarga nr 28396/95, 28 października 1999 r.</w:t>
      </w:r>
    </w:p>
    <w:p w:rsidR="00BC2D38" w:rsidRPr="00C41ADF" w:rsidRDefault="003F0A31" w:rsidP="00C766BA">
      <w:pPr>
        <w:pStyle w:val="ECHRBullet1"/>
        <w:rPr>
          <w:rFonts w:cs="Times New Roman"/>
        </w:rPr>
      </w:pPr>
      <w:hyperlink r:id="rId278" w:history="1">
        <w:r w:rsidR="00BC2D38">
          <w:rPr>
            <w:i/>
            <w:iCs/>
            <w:color w:val="0072BC"/>
            <w:u w:val="single"/>
          </w:rPr>
          <w:t>Baka przeciwko Węgrom</w:t>
        </w:r>
      </w:hyperlink>
      <w:r w:rsidR="00BC2D38">
        <w:rPr>
          <w:i/>
          <w:iCs/>
        </w:rPr>
        <w:t xml:space="preserve"> </w:t>
      </w:r>
      <w:r w:rsidR="00BC2D38">
        <w:t>[WI], skarga nr 20261/12</w:t>
      </w:r>
      <w:r w:rsidR="00BC2D38">
        <w:rPr>
          <w:snapToGrid w:val="0"/>
        </w:rPr>
        <w:t>, 23 czerwca 2016 r.</w:t>
      </w:r>
    </w:p>
    <w:p w:rsidR="00BC2D38" w:rsidRDefault="00BC2D38" w:rsidP="00C766BA">
      <w:pPr>
        <w:pStyle w:val="ECHRParaSpaced"/>
      </w:pPr>
    </w:p>
    <w:p w:rsidR="00BC2D38" w:rsidRPr="00C766BA" w:rsidRDefault="00BC2D38" w:rsidP="00C766BA">
      <w:pPr>
        <w:pStyle w:val="ECHRParaSpaced"/>
        <w:spacing w:before="240" w:after="0"/>
        <w:rPr>
          <w:b/>
          <w:bCs/>
          <w:color w:val="5F5F5F"/>
          <w:sz w:val="24"/>
          <w:szCs w:val="24"/>
        </w:rPr>
      </w:pPr>
      <w:r>
        <w:rPr>
          <w:b/>
          <w:bCs/>
          <w:color w:val="5F5F5F"/>
          <w:sz w:val="24"/>
          <w:szCs w:val="24"/>
        </w:rPr>
        <w:t>Inne sprawy</w:t>
      </w:r>
    </w:p>
    <w:p w:rsidR="00BC2D38" w:rsidRPr="00C41ADF" w:rsidRDefault="003F0A31" w:rsidP="004E10A3">
      <w:pPr>
        <w:pStyle w:val="ECHRBullet1"/>
        <w:rPr>
          <w:rFonts w:cs="Times New Roman"/>
        </w:rPr>
      </w:pPr>
      <w:hyperlink r:id="rId279" w:history="1">
        <w:r w:rsidR="00BC2D38">
          <w:rPr>
            <w:rStyle w:val="Hipercze"/>
            <w:i/>
            <w:iCs/>
          </w:rPr>
          <w:t>Buscemi przeciwko Włochom</w:t>
        </w:r>
      </w:hyperlink>
      <w:r w:rsidR="00BC2D38">
        <w:t>, skarga nr 29569/95, 16 września 1999 r.</w:t>
      </w:r>
    </w:p>
    <w:p w:rsidR="00BC2D38" w:rsidRPr="006E789B" w:rsidRDefault="003F0A31" w:rsidP="004E10A3">
      <w:pPr>
        <w:pStyle w:val="ECHRBullet1"/>
        <w:rPr>
          <w:rFonts w:cs="Times New Roman"/>
        </w:rPr>
      </w:pPr>
      <w:hyperlink r:id="rId280" w:history="1">
        <w:r w:rsidR="00BC2D38">
          <w:rPr>
            <w:i/>
            <w:iCs/>
            <w:color w:val="0072BC"/>
            <w:u w:val="single"/>
          </w:rPr>
          <w:t>Pitkevich przeciwko Rosji</w:t>
        </w:r>
      </w:hyperlink>
      <w:r w:rsidR="00BC2D38">
        <w:t xml:space="preserve"> (dec.), skarga nr 47936/99, 8 lutego 2001 r.</w:t>
      </w:r>
    </w:p>
    <w:p w:rsidR="00BC2D38" w:rsidRPr="00513719" w:rsidRDefault="003F0A31" w:rsidP="004E10A3">
      <w:pPr>
        <w:pStyle w:val="ECHRBullet1"/>
        <w:rPr>
          <w:rFonts w:cs="Times New Roman"/>
        </w:rPr>
      </w:pPr>
      <w:hyperlink r:id="rId281" w:history="1">
        <w:r w:rsidR="00BC2D38">
          <w:rPr>
            <w:rStyle w:val="Hipercze"/>
            <w:i/>
            <w:iCs/>
          </w:rPr>
          <w:t>Harabin przeciwko Słowacji</w:t>
        </w:r>
      </w:hyperlink>
      <w:r w:rsidR="00BC2D38">
        <w:t xml:space="preserve"> (dec.), skarga nr 62584/00, 29 czerwca 2004 r.</w:t>
      </w:r>
    </w:p>
    <w:p w:rsidR="00BC2D38" w:rsidRPr="00C41ADF" w:rsidRDefault="003F0A31" w:rsidP="004E10A3">
      <w:pPr>
        <w:pStyle w:val="ECHRBullet1"/>
        <w:rPr>
          <w:rFonts w:cs="Times New Roman"/>
          <w:i/>
          <w:iCs/>
        </w:rPr>
      </w:pPr>
      <w:hyperlink r:id="rId282" w:history="1">
        <w:r w:rsidR="00BC2D38">
          <w:rPr>
            <w:i/>
            <w:iCs/>
            <w:color w:val="0072BC"/>
            <w:u w:val="single"/>
          </w:rPr>
          <w:t>Albayrak przeciwko Turcji</w:t>
        </w:r>
      </w:hyperlink>
      <w:r w:rsidR="00BC2D38">
        <w:t>, skarga nr 38406/97, 31 stycznia 2008 r.</w:t>
      </w:r>
    </w:p>
    <w:p w:rsidR="00BC2D38" w:rsidRPr="00C41ADF" w:rsidRDefault="003F0A31" w:rsidP="004E10A3">
      <w:pPr>
        <w:pStyle w:val="ECHRBullet1"/>
        <w:rPr>
          <w:rFonts w:cs="Times New Roman"/>
        </w:rPr>
      </w:pPr>
      <w:hyperlink r:id="rId283" w:history="1">
        <w:r w:rsidR="00BC2D38">
          <w:rPr>
            <w:i/>
            <w:iCs/>
            <w:color w:val="0072BC"/>
            <w:u w:val="single"/>
          </w:rPr>
          <w:t>Kayasu przeciwko Turcji</w:t>
        </w:r>
      </w:hyperlink>
      <w:r w:rsidR="00BC2D38">
        <w:t>, skargi nr 64119/04 i 76292/04, 13 listopada 2008 r.</w:t>
      </w:r>
    </w:p>
    <w:p w:rsidR="00BC2D38" w:rsidRPr="00986F46" w:rsidRDefault="003F0A31" w:rsidP="004E10A3">
      <w:pPr>
        <w:pStyle w:val="ECHRBullet1"/>
        <w:rPr>
          <w:rFonts w:cs="Times New Roman"/>
          <w:snapToGrid w:val="0"/>
        </w:rPr>
      </w:pPr>
      <w:hyperlink r:id="rId284" w:history="1">
        <w:r w:rsidR="00BC2D38">
          <w:rPr>
            <w:i/>
            <w:iCs/>
            <w:color w:val="0072BC"/>
            <w:u w:val="single"/>
          </w:rPr>
          <w:t>Kudeshkina przeciwko Rosji</w:t>
        </w:r>
      </w:hyperlink>
      <w:r w:rsidR="00BC2D38">
        <w:t xml:space="preserve">, skarga nr 29492/05, </w:t>
      </w:r>
      <w:r w:rsidR="00BC2D38">
        <w:rPr>
          <w:snapToGrid w:val="0"/>
        </w:rPr>
        <w:t>26 lutego 2009 r.</w:t>
      </w:r>
    </w:p>
    <w:p w:rsidR="00BC2D38" w:rsidRPr="00C41ADF" w:rsidRDefault="003F0A31" w:rsidP="004E10A3">
      <w:pPr>
        <w:pStyle w:val="ECHRBullet1"/>
        <w:rPr>
          <w:rFonts w:cs="Times New Roman"/>
        </w:rPr>
      </w:pPr>
      <w:hyperlink r:id="rId285" w:history="1">
        <w:r w:rsidR="00BC2D38">
          <w:rPr>
            <w:rStyle w:val="Hipercze"/>
            <w:i/>
            <w:iCs/>
          </w:rPr>
          <w:t>Poyraz przeciwko Turcji</w:t>
        </w:r>
      </w:hyperlink>
      <w:r w:rsidR="00BC2D38">
        <w:t>, skarga nr 15966/06, 7 grudnia 2010 r.</w:t>
      </w:r>
    </w:p>
    <w:p w:rsidR="00BC2D38" w:rsidRPr="00D24DF9" w:rsidRDefault="003F0A31" w:rsidP="004E10A3">
      <w:pPr>
        <w:pStyle w:val="ECHRBullet1"/>
        <w:rPr>
          <w:rFonts w:cs="Times New Roman"/>
        </w:rPr>
      </w:pPr>
      <w:hyperlink r:id="rId286" w:history="1">
        <w:r w:rsidR="00BC2D38">
          <w:rPr>
            <w:i/>
            <w:iCs/>
            <w:color w:val="0072BC"/>
            <w:u w:val="single"/>
          </w:rPr>
          <w:t>Di Giovanni</w:t>
        </w:r>
        <w:r w:rsidR="00BC2D38">
          <w:rPr>
            <w:snapToGrid w:val="0"/>
            <w:color w:val="0072BC"/>
            <w:u w:val="single"/>
          </w:rPr>
          <w:t xml:space="preserve"> </w:t>
        </w:r>
        <w:r w:rsidR="00BC2D38">
          <w:rPr>
            <w:i/>
            <w:iCs/>
            <w:color w:val="0072BC"/>
            <w:u w:val="single"/>
          </w:rPr>
          <w:t>przeciwko Włochom</w:t>
        </w:r>
      </w:hyperlink>
      <w:r w:rsidR="00BC2D38">
        <w:rPr>
          <w:snapToGrid w:val="0"/>
        </w:rPr>
        <w:t>, skarga nr 51160/06, 9 lipca 2013 r.</w:t>
      </w:r>
    </w:p>
    <w:p w:rsidR="00BC2D38" w:rsidRDefault="003F0A31" w:rsidP="004E10A3">
      <w:pPr>
        <w:pStyle w:val="ECHRBullet1"/>
      </w:pPr>
      <w:hyperlink r:id="rId287" w:history="1">
        <w:r w:rsidR="00BC2D38">
          <w:rPr>
            <w:rStyle w:val="Hipercze"/>
            <w:i/>
            <w:iCs/>
          </w:rPr>
          <w:t>Simić przeciwko Bośni i Hercegowinie</w:t>
        </w:r>
      </w:hyperlink>
      <w:r w:rsidR="00BC2D38">
        <w:t xml:space="preserve"> (dec.), skarga nr 75255/10, 15 listopada 2016 r.</w:t>
      </w:r>
    </w:p>
    <w:p w:rsidR="00BC2D38" w:rsidRPr="00C766BA" w:rsidRDefault="003F0A31" w:rsidP="00C766BA">
      <w:pPr>
        <w:pStyle w:val="ECHRBullet1"/>
        <w:rPr>
          <w:rFonts w:cs="Times New Roman"/>
        </w:rPr>
      </w:pPr>
      <w:hyperlink r:id="rId288" w:history="1">
        <w:r w:rsidR="00BC2D38">
          <w:rPr>
            <w:i/>
            <w:iCs/>
            <w:color w:val="0072BC"/>
            <w:u w:val="single"/>
          </w:rPr>
          <w:t>Brisc przeciwko Rumunii</w:t>
        </w:r>
      </w:hyperlink>
      <w:r w:rsidR="00BC2D38">
        <w:t>, skarga nr 26238/10, 11 grudnia 2018 r.</w:t>
      </w:r>
    </w:p>
    <w:p w:rsidR="00BC2D38" w:rsidRDefault="00BC2D38" w:rsidP="00C766BA">
      <w:pPr>
        <w:pStyle w:val="ECHRParaSpaced"/>
        <w:rPr>
          <w:lang w:val="it-IT"/>
        </w:rPr>
      </w:pPr>
    </w:p>
    <w:p w:rsidR="00BC2D38" w:rsidRDefault="00BC2D38" w:rsidP="00C766BA">
      <w:pPr>
        <w:pStyle w:val="ECHRParaSpaced"/>
        <w:spacing w:before="240" w:after="0"/>
        <w:rPr>
          <w:b/>
          <w:bCs/>
          <w:sz w:val="24"/>
          <w:szCs w:val="24"/>
        </w:rPr>
      </w:pPr>
      <w:r>
        <w:rPr>
          <w:b/>
          <w:bCs/>
          <w:sz w:val="24"/>
          <w:szCs w:val="24"/>
        </w:rPr>
        <w:t>Oświadczenia wymierzone w członków sądownictwa</w:t>
      </w:r>
    </w:p>
    <w:p w:rsidR="00BC2D38" w:rsidRPr="00C766BA" w:rsidRDefault="00BC2D38" w:rsidP="00C766BA">
      <w:pPr>
        <w:pStyle w:val="ECHRParaSpaced"/>
        <w:spacing w:before="240" w:after="0"/>
        <w:rPr>
          <w:b/>
          <w:bCs/>
          <w:color w:val="5F5F5F"/>
          <w:sz w:val="24"/>
          <w:szCs w:val="24"/>
        </w:rPr>
      </w:pPr>
      <w:r>
        <w:rPr>
          <w:b/>
          <w:bCs/>
          <w:color w:val="5F5F5F"/>
          <w:sz w:val="24"/>
          <w:szCs w:val="24"/>
        </w:rPr>
        <w:t>Sprawy główne</w:t>
      </w:r>
    </w:p>
    <w:p w:rsidR="00BC2D38" w:rsidRPr="00C41ADF" w:rsidRDefault="003F0A31" w:rsidP="004E10A3">
      <w:pPr>
        <w:pStyle w:val="ECHRBullet1"/>
        <w:rPr>
          <w:rFonts w:cs="Times New Roman"/>
        </w:rPr>
      </w:pPr>
      <w:hyperlink r:id="rId289" w:history="1">
        <w:r w:rsidR="00BC2D38">
          <w:rPr>
            <w:rStyle w:val="Hipercze"/>
            <w:i/>
            <w:iCs/>
          </w:rPr>
          <w:t>Kyprianou przeciwko Cyprowi</w:t>
        </w:r>
      </w:hyperlink>
      <w:r w:rsidR="00BC2D38">
        <w:rPr>
          <w:i/>
          <w:iCs/>
        </w:rPr>
        <w:t xml:space="preserve"> </w:t>
      </w:r>
      <w:r w:rsidR="00BC2D38">
        <w:t>[WI], skarga nr 73797/01, 15 grudnia 2005 r.</w:t>
      </w:r>
    </w:p>
    <w:p w:rsidR="00BC2D38" w:rsidRPr="00C766BA" w:rsidRDefault="003F0A31" w:rsidP="00C766BA">
      <w:pPr>
        <w:pStyle w:val="ECHRBullet1"/>
        <w:rPr>
          <w:rFonts w:cs="Times New Roman"/>
        </w:rPr>
      </w:pPr>
      <w:hyperlink r:id="rId290" w:history="1">
        <w:r w:rsidR="00BC2D38">
          <w:rPr>
            <w:rStyle w:val="Hipercze"/>
            <w:i/>
            <w:iCs/>
          </w:rPr>
          <w:t>Morice przeciwko Francji</w:t>
        </w:r>
      </w:hyperlink>
      <w:r w:rsidR="00BC2D38">
        <w:rPr>
          <w:i/>
          <w:iCs/>
        </w:rPr>
        <w:t xml:space="preserve"> </w:t>
      </w:r>
      <w:r w:rsidR="00BC2D38">
        <w:t>[WI], skarga nr 29369/10, 23 kwietnia 2015 r.</w:t>
      </w:r>
    </w:p>
    <w:p w:rsidR="00BC2D38" w:rsidRDefault="00BC2D38" w:rsidP="00C766BA">
      <w:pPr>
        <w:pStyle w:val="ECHRParaSpaced"/>
        <w:rPr>
          <w:lang w:val="it-IT"/>
        </w:rPr>
      </w:pPr>
    </w:p>
    <w:p w:rsidR="00BC2D38" w:rsidRPr="00C766BA" w:rsidRDefault="00BC2D38" w:rsidP="00C766BA">
      <w:pPr>
        <w:pStyle w:val="ECHRParaSpaced"/>
        <w:spacing w:before="240" w:after="0"/>
        <w:rPr>
          <w:b/>
          <w:bCs/>
          <w:color w:val="5F5F5F"/>
          <w:sz w:val="24"/>
          <w:szCs w:val="24"/>
        </w:rPr>
      </w:pPr>
      <w:r>
        <w:rPr>
          <w:b/>
          <w:bCs/>
          <w:color w:val="5F5F5F"/>
          <w:sz w:val="24"/>
          <w:szCs w:val="24"/>
        </w:rPr>
        <w:t>Inne sprawy</w:t>
      </w:r>
    </w:p>
    <w:p w:rsidR="00BC2D38" w:rsidRPr="00986F46" w:rsidRDefault="003F0A31" w:rsidP="004E10A3">
      <w:pPr>
        <w:pStyle w:val="ECHRBullet1"/>
        <w:rPr>
          <w:rFonts w:cs="Times New Roman"/>
        </w:rPr>
      </w:pPr>
      <w:hyperlink r:id="rId291" w:history="1">
        <w:r w:rsidR="00BC2D38">
          <w:rPr>
            <w:rStyle w:val="Hipercze"/>
            <w:i/>
            <w:iCs/>
          </w:rPr>
          <w:t>Prager i Oberschlick przeciwko Austrii</w:t>
        </w:r>
      </w:hyperlink>
      <w:r w:rsidR="00BC2D38">
        <w:t>, 26 kwietnia 1995 r., 26 kwietnia 1995 r.</w:t>
      </w:r>
    </w:p>
    <w:p w:rsidR="00BC2D38" w:rsidRDefault="003F0A31" w:rsidP="004E10A3">
      <w:pPr>
        <w:pStyle w:val="ECHRBullet1"/>
      </w:pPr>
      <w:hyperlink r:id="rId292" w:history="1">
        <w:r w:rsidR="00BC2D38">
          <w:rPr>
            <w:rStyle w:val="Hipercze"/>
            <w:i/>
            <w:iCs/>
          </w:rPr>
          <w:t>De Haes i Gijsels przeciwko Belgii</w:t>
        </w:r>
      </w:hyperlink>
      <w:r w:rsidR="00BC2D38">
        <w:t>, 24 lutego 1997 r., 24 lutego 1997 r.</w:t>
      </w:r>
    </w:p>
    <w:p w:rsidR="00BC2D38" w:rsidRPr="00986F46" w:rsidRDefault="003F0A31" w:rsidP="004E10A3">
      <w:pPr>
        <w:pStyle w:val="ECHRBullet1"/>
        <w:rPr>
          <w:rFonts w:cs="Times New Roman"/>
        </w:rPr>
      </w:pPr>
      <w:hyperlink r:id="rId293" w:history="1">
        <w:r w:rsidR="00BC2D38">
          <w:rPr>
            <w:rStyle w:val="Hipercze"/>
            <w:i/>
            <w:iCs/>
          </w:rPr>
          <w:t>Worm przeciwko Austrii</w:t>
        </w:r>
      </w:hyperlink>
      <w:r w:rsidR="00BC2D38">
        <w:t>, skarga nr 22714/93, 29 sierpnia 1997 r.</w:t>
      </w:r>
    </w:p>
    <w:p w:rsidR="00BC2D38" w:rsidRPr="00C41ADF" w:rsidRDefault="003F0A31" w:rsidP="004E10A3">
      <w:pPr>
        <w:pStyle w:val="ECHRBullet1"/>
        <w:rPr>
          <w:rFonts w:cs="Times New Roman"/>
        </w:rPr>
      </w:pPr>
      <w:hyperlink r:id="rId294" w:history="1">
        <w:r w:rsidR="00BC2D38">
          <w:rPr>
            <w:rStyle w:val="Hipercze"/>
            <w:i/>
            <w:iCs/>
          </w:rPr>
          <w:t>Nikula przeciwko Finlandii</w:t>
        </w:r>
      </w:hyperlink>
      <w:r w:rsidR="00BC2D38">
        <w:t>, skarga nr 31611/96, 21 marca 2002 r.</w:t>
      </w:r>
    </w:p>
    <w:p w:rsidR="00BC2D38" w:rsidRPr="00C41ADF" w:rsidRDefault="003F0A31" w:rsidP="004E10A3">
      <w:pPr>
        <w:pStyle w:val="ECHRBullet1"/>
        <w:rPr>
          <w:rFonts w:cs="Times New Roman"/>
        </w:rPr>
      </w:pPr>
      <w:hyperlink r:id="rId295" w:history="1">
        <w:r w:rsidR="00BC2D38">
          <w:rPr>
            <w:rStyle w:val="Hipercze"/>
            <w:i/>
            <w:iCs/>
          </w:rPr>
          <w:t>Lešník przeciwko Słowacji</w:t>
        </w:r>
      </w:hyperlink>
      <w:r w:rsidR="00BC2D38">
        <w:t>,</w:t>
      </w:r>
      <w:r w:rsidR="00BC2D38">
        <w:rPr>
          <w:i/>
          <w:iCs/>
        </w:rPr>
        <w:t xml:space="preserve"> </w:t>
      </w:r>
      <w:r w:rsidR="00BC2D38">
        <w:t>skarga nr 35640/97, 11 marca 2003 r.</w:t>
      </w:r>
    </w:p>
    <w:p w:rsidR="00BC2D38" w:rsidRPr="00986F46" w:rsidRDefault="003F0A31" w:rsidP="004E10A3">
      <w:pPr>
        <w:pStyle w:val="ECHRBullet1"/>
        <w:rPr>
          <w:rFonts w:cs="Times New Roman"/>
        </w:rPr>
      </w:pPr>
      <w:hyperlink r:id="rId296" w:history="1">
        <w:r w:rsidR="00BC2D38">
          <w:rPr>
            <w:rStyle w:val="Hipercze"/>
            <w:i/>
            <w:iCs/>
          </w:rPr>
          <w:t>Perna przeciwko Włochom</w:t>
        </w:r>
      </w:hyperlink>
      <w:r w:rsidR="00BC2D38">
        <w:rPr>
          <w:i/>
          <w:iCs/>
        </w:rPr>
        <w:t xml:space="preserve"> </w:t>
      </w:r>
      <w:r w:rsidR="00BC2D38">
        <w:t>[WI],</w:t>
      </w:r>
      <w:r w:rsidR="00BC2D38">
        <w:rPr>
          <w:i/>
          <w:iCs/>
        </w:rPr>
        <w:t xml:space="preserve"> </w:t>
      </w:r>
      <w:r w:rsidR="00BC2D38">
        <w:t>skarga nr 48898/99, 6 maja 2003 r.</w:t>
      </w:r>
    </w:p>
    <w:p w:rsidR="00BC2D38" w:rsidRPr="00D24DF9" w:rsidRDefault="003F0A31" w:rsidP="004E10A3">
      <w:pPr>
        <w:pStyle w:val="ECHRBullet1"/>
        <w:rPr>
          <w:rFonts w:cs="Times New Roman"/>
        </w:rPr>
      </w:pPr>
      <w:hyperlink r:id="rId297" w:history="1">
        <w:r w:rsidR="00BC2D38">
          <w:rPr>
            <w:rStyle w:val="Hipercze"/>
            <w:i/>
            <w:iCs/>
          </w:rPr>
          <w:t>Skałka przeciwko Polsce</w:t>
        </w:r>
      </w:hyperlink>
      <w:r w:rsidR="00BC2D38">
        <w:t>,</w:t>
      </w:r>
      <w:r w:rsidR="00BC2D38">
        <w:rPr>
          <w:i/>
          <w:iCs/>
        </w:rPr>
        <w:t xml:space="preserve"> </w:t>
      </w:r>
      <w:r w:rsidR="00BC2D38">
        <w:t>skarga nr 43425/98, 27 maja 2003 r.</w:t>
      </w:r>
    </w:p>
    <w:p w:rsidR="00BC2D38" w:rsidRPr="00986F46" w:rsidRDefault="003F0A31" w:rsidP="004E10A3">
      <w:pPr>
        <w:pStyle w:val="ECHRBullet1"/>
        <w:rPr>
          <w:rFonts w:cs="Times New Roman"/>
        </w:rPr>
      </w:pPr>
      <w:hyperlink r:id="rId298" w:history="1">
        <w:r w:rsidR="00BC2D38">
          <w:rPr>
            <w:rStyle w:val="Hipercze"/>
            <w:i/>
            <w:iCs/>
          </w:rPr>
          <w:t>Amihalachioaie przeciwko Mołdawii</w:t>
        </w:r>
      </w:hyperlink>
      <w:r w:rsidR="00BC2D38">
        <w:t>, skarga nr 60115/00, 20 kwietnia 2004 r.</w:t>
      </w:r>
    </w:p>
    <w:p w:rsidR="00BC2D38" w:rsidRPr="00C41ADF" w:rsidRDefault="003F0A31" w:rsidP="004E10A3">
      <w:pPr>
        <w:pStyle w:val="ECHRBullet1"/>
        <w:rPr>
          <w:rFonts w:cs="Times New Roman"/>
        </w:rPr>
      </w:pPr>
      <w:hyperlink r:id="rId299" w:history="1">
        <w:r w:rsidR="00BC2D38">
          <w:rPr>
            <w:rStyle w:val="Hipercze"/>
            <w:i/>
            <w:iCs/>
          </w:rPr>
          <w:t>Saday przeciwko Turcji</w:t>
        </w:r>
      </w:hyperlink>
      <w:r w:rsidR="00BC2D38">
        <w:t>, skarga nr 32458/96, 30 marca 2006 r.</w:t>
      </w:r>
    </w:p>
    <w:p w:rsidR="00BC2D38" w:rsidRPr="00C41ADF" w:rsidRDefault="003F0A31" w:rsidP="004E10A3">
      <w:pPr>
        <w:pStyle w:val="ECHRBullet1"/>
        <w:rPr>
          <w:rFonts w:cs="Times New Roman"/>
        </w:rPr>
      </w:pPr>
      <w:hyperlink r:id="rId300" w:history="1">
        <w:r w:rsidR="00BC2D38">
          <w:rPr>
            <w:rStyle w:val="Hipercze"/>
            <w:i/>
            <w:iCs/>
          </w:rPr>
          <w:t>July i SARL Libération przeciwko Francji</w:t>
        </w:r>
      </w:hyperlink>
      <w:r w:rsidR="00BC2D38">
        <w:t>, skarga nr 20893/03, 14 lutego 2008 r.</w:t>
      </w:r>
    </w:p>
    <w:p w:rsidR="00BC2D38" w:rsidRPr="00986F46" w:rsidRDefault="003F0A31" w:rsidP="004E10A3">
      <w:pPr>
        <w:pStyle w:val="ECHRBullet1"/>
        <w:rPr>
          <w:rFonts w:cs="Times New Roman"/>
        </w:rPr>
      </w:pPr>
      <w:hyperlink r:id="rId301" w:history="1">
        <w:r w:rsidR="00BC2D38">
          <w:rPr>
            <w:rStyle w:val="Hipercze"/>
            <w:i/>
            <w:iCs/>
          </w:rPr>
          <w:t>Roland Dumas przeciwko Francji</w:t>
        </w:r>
      </w:hyperlink>
      <w:r w:rsidR="00BC2D38">
        <w:t>, skarga nr 34875/07, 15 lipca 2010 r.</w:t>
      </w:r>
    </w:p>
    <w:p w:rsidR="00BC2D38" w:rsidRPr="00986F46" w:rsidRDefault="003F0A31" w:rsidP="004E10A3">
      <w:pPr>
        <w:pStyle w:val="ECHRBullet1"/>
        <w:rPr>
          <w:rFonts w:cs="Times New Roman"/>
        </w:rPr>
      </w:pPr>
      <w:hyperlink r:id="rId302" w:history="1">
        <w:r w:rsidR="00BC2D38">
          <w:rPr>
            <w:rStyle w:val="Hipercze"/>
            <w:i/>
            <w:iCs/>
          </w:rPr>
          <w:t>Gouveia Gomes Fernandes i Freitas e Costa przeciwko Portugalii</w:t>
        </w:r>
      </w:hyperlink>
      <w:r w:rsidR="00BC2D38">
        <w:t>, skarga nr 1529/08, 29 marca 2011 r.</w:t>
      </w:r>
    </w:p>
    <w:p w:rsidR="00BC2D38" w:rsidRPr="00C41ADF" w:rsidRDefault="003F0A31" w:rsidP="004E10A3">
      <w:pPr>
        <w:pStyle w:val="ECHRBullet1"/>
        <w:rPr>
          <w:rFonts w:cs="Times New Roman"/>
        </w:rPr>
      </w:pPr>
      <w:hyperlink r:id="rId303" w:history="1">
        <w:r w:rsidR="00BC2D38">
          <w:rPr>
            <w:rStyle w:val="Hipercze"/>
            <w:i/>
            <w:iCs/>
          </w:rPr>
          <w:t>Ümit Bilgiç</w:t>
        </w:r>
        <w:r w:rsidR="00BC2D38">
          <w:rPr>
            <w:rStyle w:val="Hipercze"/>
            <w:snapToGrid w:val="0"/>
          </w:rPr>
          <w:t xml:space="preserve"> </w:t>
        </w:r>
        <w:r w:rsidR="00BC2D38">
          <w:rPr>
            <w:rStyle w:val="Hipercze"/>
            <w:i/>
            <w:iCs/>
          </w:rPr>
          <w:t>przeciwko Turcji</w:t>
        </w:r>
      </w:hyperlink>
      <w:r w:rsidR="00BC2D38">
        <w:rPr>
          <w:snapToGrid w:val="0"/>
        </w:rPr>
        <w:t>, skarga nr 22398/05, 3 września 2013 r.</w:t>
      </w:r>
    </w:p>
    <w:p w:rsidR="00BC2D38" w:rsidRPr="00C41ADF" w:rsidRDefault="003F0A31" w:rsidP="004E10A3">
      <w:pPr>
        <w:pStyle w:val="ECHRBullet1"/>
        <w:rPr>
          <w:rFonts w:cs="Times New Roman"/>
        </w:rPr>
      </w:pPr>
      <w:hyperlink r:id="rId304" w:history="1">
        <w:r w:rsidR="00BC2D38">
          <w:rPr>
            <w:rStyle w:val="Hipercze"/>
            <w:i/>
            <w:iCs/>
          </w:rPr>
          <w:t>Mustafa Erdogan przeciwko Turcji</w:t>
        </w:r>
      </w:hyperlink>
      <w:r w:rsidR="00BC2D38">
        <w:t>, skargi nr 346/04 i 39779/04, 27 maja 2014 r.</w:t>
      </w:r>
    </w:p>
    <w:p w:rsidR="00BC2D38" w:rsidRPr="00986F46" w:rsidRDefault="003F0A31" w:rsidP="004E10A3">
      <w:pPr>
        <w:pStyle w:val="ECHRBullet1"/>
        <w:rPr>
          <w:rFonts w:cs="Times New Roman"/>
        </w:rPr>
      </w:pPr>
      <w:hyperlink r:id="rId305" w:history="1">
        <w:r w:rsidR="00BC2D38">
          <w:rPr>
            <w:rStyle w:val="Hipercze"/>
            <w:i/>
            <w:iCs/>
          </w:rPr>
          <w:t>Peruzzi przeciwko Włochom</w:t>
        </w:r>
      </w:hyperlink>
      <w:r w:rsidR="00BC2D38">
        <w:rPr>
          <w:snapToGrid w:val="0"/>
        </w:rPr>
        <w:t xml:space="preserve">, </w:t>
      </w:r>
      <w:r w:rsidR="00BC2D38">
        <w:t>skarga nr 39294/09</w:t>
      </w:r>
      <w:r w:rsidR="00BC2D38">
        <w:rPr>
          <w:snapToGrid w:val="0"/>
        </w:rPr>
        <w:t>, 30 czerwca 2015 r.</w:t>
      </w:r>
    </w:p>
    <w:p w:rsidR="00BC2D38" w:rsidRPr="00986F46" w:rsidRDefault="003F0A31" w:rsidP="004E10A3">
      <w:pPr>
        <w:pStyle w:val="ECHRBullet1"/>
        <w:rPr>
          <w:rFonts w:cs="Times New Roman"/>
          <w:snapToGrid w:val="0"/>
        </w:rPr>
      </w:pPr>
      <w:hyperlink r:id="rId306" w:history="1">
        <w:r w:rsidR="00BC2D38">
          <w:rPr>
            <w:rStyle w:val="Hipercze"/>
            <w:i/>
            <w:iCs/>
          </w:rPr>
          <w:t>Bono przeciwko Francji</w:t>
        </w:r>
      </w:hyperlink>
      <w:r w:rsidR="00BC2D38">
        <w:rPr>
          <w:snapToGrid w:val="0"/>
        </w:rPr>
        <w:t xml:space="preserve">, </w:t>
      </w:r>
      <w:r w:rsidR="00BC2D38">
        <w:t>skarga nr 29024/11</w:t>
      </w:r>
      <w:r w:rsidR="00BC2D38">
        <w:rPr>
          <w:snapToGrid w:val="0"/>
        </w:rPr>
        <w:t>, 15 grudnia 2015 r.</w:t>
      </w:r>
    </w:p>
    <w:p w:rsidR="00BC2D38" w:rsidRPr="00986F46" w:rsidRDefault="003F0A31" w:rsidP="004E10A3">
      <w:pPr>
        <w:pStyle w:val="ECHRBullet1"/>
        <w:rPr>
          <w:rFonts w:cs="Times New Roman"/>
          <w:snapToGrid w:val="0"/>
        </w:rPr>
      </w:pPr>
      <w:hyperlink r:id="rId307" w:history="1"/>
      <w:hyperlink r:id="rId308" w:history="1">
        <w:r w:rsidR="00BC2D38">
          <w:rPr>
            <w:rStyle w:val="Hipercze"/>
            <w:i/>
            <w:iCs/>
          </w:rPr>
          <w:t>Radobuljac przeciwko Chorwacji</w:t>
        </w:r>
      </w:hyperlink>
      <w:r w:rsidR="00BC2D38">
        <w:t>, skarga nr 51000/11</w:t>
      </w:r>
      <w:r w:rsidR="00BC2D38">
        <w:rPr>
          <w:snapToGrid w:val="0"/>
        </w:rPr>
        <w:t>, 28 czerwca 2016 r.</w:t>
      </w:r>
    </w:p>
    <w:p w:rsidR="00BC2D38" w:rsidRPr="00EA7420" w:rsidRDefault="003F0A31" w:rsidP="004E10A3">
      <w:pPr>
        <w:pStyle w:val="ECHRBullet1"/>
        <w:rPr>
          <w:rFonts w:cs="Times New Roman"/>
          <w:snapToGrid w:val="0"/>
        </w:rPr>
      </w:pPr>
      <w:hyperlink r:id="rId309" w:history="1">
        <w:r w:rsidR="00BC2D38">
          <w:rPr>
            <w:rStyle w:val="Hipercze"/>
            <w:i/>
            <w:iCs/>
          </w:rPr>
          <w:t>Čeferin przeciwko Słowenii</w:t>
        </w:r>
      </w:hyperlink>
      <w:r w:rsidR="00BC2D38">
        <w:t>, skarga nr 40975/08, 16 stycznia 2018 r.</w:t>
      </w:r>
    </w:p>
    <w:p w:rsidR="00BC2D38" w:rsidRPr="00C41ADF" w:rsidRDefault="003F0A31" w:rsidP="004E10A3">
      <w:pPr>
        <w:pStyle w:val="ECHRBullet1"/>
        <w:rPr>
          <w:rFonts w:cs="Times New Roman"/>
        </w:rPr>
      </w:pPr>
      <w:hyperlink r:id="rId310" w:history="1">
        <w:r w:rsidR="00BC2D38">
          <w:rPr>
            <w:rStyle w:val="Hipercze"/>
            <w:i/>
            <w:iCs/>
          </w:rPr>
          <w:t>Mikhaylova przeciwko Ukrainie</w:t>
        </w:r>
      </w:hyperlink>
      <w:r w:rsidR="00BC2D38">
        <w:t>, skarga nr 10644/08, 6 marca 2018 r.</w:t>
      </w:r>
    </w:p>
    <w:p w:rsidR="00BC2D38" w:rsidRPr="00986F46" w:rsidRDefault="003F0A31" w:rsidP="004E10A3">
      <w:pPr>
        <w:pStyle w:val="ECHRBullet1"/>
        <w:rPr>
          <w:rFonts w:cs="Times New Roman"/>
          <w:i/>
          <w:iCs/>
        </w:rPr>
      </w:pPr>
      <w:hyperlink r:id="rId311" w:history="1">
        <w:r w:rsidR="00BC2D38">
          <w:rPr>
            <w:rStyle w:val="Hipercze"/>
            <w:i/>
            <w:iCs/>
          </w:rPr>
          <w:t>Narodni List D.D. przeciwko Chorwacji</w:t>
        </w:r>
      </w:hyperlink>
      <w:r w:rsidR="00BC2D38">
        <w:t>, skarga nr 2782/12, 8 listopada 2018 r.</w:t>
      </w:r>
    </w:p>
    <w:p w:rsidR="00BC2D38" w:rsidRPr="00C766BA" w:rsidRDefault="003F0A31" w:rsidP="00C766BA">
      <w:pPr>
        <w:pStyle w:val="ECHRBullet1"/>
        <w:rPr>
          <w:rFonts w:cs="Times New Roman"/>
        </w:rPr>
      </w:pPr>
      <w:hyperlink r:id="rId312" w:history="1">
        <w:r w:rsidR="00BC2D38">
          <w:rPr>
            <w:rStyle w:val="Hipercze"/>
            <w:i/>
            <w:iCs/>
          </w:rPr>
          <w:t>Słomka przeciwko Polsce</w:t>
        </w:r>
      </w:hyperlink>
      <w:r w:rsidR="00BC2D38">
        <w:t>, skarga nr 68924/12, 6 grudnia 2018 r.</w:t>
      </w:r>
    </w:p>
    <w:p w:rsidR="00BC2D38" w:rsidRDefault="00BC2D38" w:rsidP="00C766BA">
      <w:pPr>
        <w:pStyle w:val="ECHRParaSpaced"/>
        <w:rPr>
          <w:lang w:val="it-IT"/>
        </w:rPr>
      </w:pPr>
    </w:p>
    <w:p w:rsidR="00BC2D38" w:rsidRPr="0004247A" w:rsidRDefault="00BC2D38" w:rsidP="00C766BA">
      <w:pPr>
        <w:pStyle w:val="ECHRParaSpaced"/>
        <w:spacing w:before="240" w:after="0"/>
        <w:rPr>
          <w:b/>
          <w:bCs/>
          <w:sz w:val="28"/>
          <w:szCs w:val="28"/>
        </w:rPr>
      </w:pPr>
      <w:r>
        <w:rPr>
          <w:b/>
          <w:bCs/>
          <w:sz w:val="28"/>
          <w:szCs w:val="28"/>
        </w:rPr>
        <w:t>Sprawy na podstawie art. 11</w:t>
      </w:r>
    </w:p>
    <w:p w:rsidR="00BC2D38" w:rsidRPr="00C766BA" w:rsidRDefault="003F0A31" w:rsidP="00C766BA">
      <w:pPr>
        <w:pStyle w:val="ECHRBullet1"/>
        <w:rPr>
          <w:rFonts w:cs="Times New Roman"/>
        </w:rPr>
      </w:pPr>
      <w:hyperlink r:id="rId313" w:history="1">
        <w:r w:rsidR="00BC2D38">
          <w:rPr>
            <w:rStyle w:val="Hipercze"/>
            <w:i/>
            <w:iCs/>
          </w:rPr>
          <w:t>Maestri przeciwko Włochom</w:t>
        </w:r>
      </w:hyperlink>
      <w:r w:rsidR="00BC2D38">
        <w:t xml:space="preserve"> [WI], skarga nr 39748/98, 17 lutego 2004 r.</w:t>
      </w:r>
    </w:p>
    <w:p w:rsidR="00BC2D38" w:rsidRDefault="00BC2D38" w:rsidP="00C766BA">
      <w:pPr>
        <w:pStyle w:val="ECHRParaSpaced"/>
        <w:rPr>
          <w:lang w:val="it-IT"/>
        </w:rPr>
      </w:pPr>
    </w:p>
    <w:sectPr w:rsidR="00BC2D38" w:rsidSect="00775C6F">
      <w:headerReference w:type="default" r:id="rId314"/>
      <w:headerReference w:type="first" r:id="rId315"/>
      <w:pgSz w:w="11907" w:h="16840" w:code="9"/>
      <w:pgMar w:top="1440" w:right="1440" w:bottom="1440" w:left="144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A31" w:rsidRDefault="003F0A31" w:rsidP="00D06B0B">
      <w:r>
        <w:separator/>
      </w:r>
    </w:p>
  </w:endnote>
  <w:endnote w:type="continuationSeparator" w:id="0">
    <w:p w:rsidR="003F0A31" w:rsidRDefault="003F0A31" w:rsidP="00D0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50602020203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38" w:rsidRDefault="00BC2D38" w:rsidP="00D10E25">
    <w:pPr>
      <w:pStyle w:val="Stopka"/>
    </w:pPr>
    <w:r>
      <w:tab/>
    </w:r>
    <w:r w:rsidR="003F0A31">
      <w:fldChar w:fldCharType="begin"/>
    </w:r>
    <w:r w:rsidR="003F0A31">
      <w:instrText xml:space="preserve"> PAGE  </w:instrText>
    </w:r>
    <w:r w:rsidR="003F0A31">
      <w:fldChar w:fldCharType="separate"/>
    </w:r>
    <w:r w:rsidR="00D0570D">
      <w:rPr>
        <w:noProof/>
      </w:rPr>
      <w:t>22</w:t>
    </w:r>
    <w:r w:rsidR="003F0A31">
      <w:rPr>
        <w:noProof/>
      </w:rPr>
      <w:fldChar w:fldCharType="end"/>
    </w:r>
    <w:r>
      <w:t>/</w:t>
    </w:r>
    <w:r w:rsidR="003F0A31">
      <w:fldChar w:fldCharType="begin"/>
    </w:r>
    <w:r w:rsidR="003F0A31">
      <w:instrText xml:space="preserve"> NUMPAGES </w:instrText>
    </w:r>
    <w:r w:rsidR="003F0A31">
      <w:fldChar w:fldCharType="separate"/>
    </w:r>
    <w:r w:rsidR="00D0570D">
      <w:rPr>
        <w:noProof/>
      </w:rPr>
      <w:t>22</w:t>
    </w:r>
    <w:r w:rsidR="003F0A31">
      <w:rPr>
        <w:noProof/>
      </w:rPr>
      <w:fldChar w:fldCharType="end"/>
    </w:r>
  </w:p>
  <w:p w:rsidR="00BC2D38" w:rsidRDefault="00BC2D3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38" w:rsidRDefault="00BC2D38" w:rsidP="00D10E25">
    <w:pPr>
      <w:pStyle w:val="Stopka"/>
    </w:pPr>
    <w:r>
      <w:tab/>
    </w:r>
  </w:p>
  <w:p w:rsidR="00BC2D38" w:rsidRDefault="00BC2D3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38" w:rsidRDefault="00BC2D38" w:rsidP="00D10E25">
    <w:pPr>
      <w:pStyle w:val="Stopka"/>
    </w:pPr>
    <w:r>
      <w:tab/>
    </w:r>
    <w:r w:rsidR="003F0A31">
      <w:fldChar w:fldCharType="begin"/>
    </w:r>
    <w:r w:rsidR="003F0A31">
      <w:instrText xml:space="preserve"> PAGE  </w:instrText>
    </w:r>
    <w:r w:rsidR="003F0A31">
      <w:fldChar w:fldCharType="separate"/>
    </w:r>
    <w:r w:rsidR="00D0570D">
      <w:rPr>
        <w:noProof/>
      </w:rPr>
      <w:t>2</w:t>
    </w:r>
    <w:r w:rsidR="003F0A31">
      <w:rPr>
        <w:noProof/>
      </w:rPr>
      <w:fldChar w:fldCharType="end"/>
    </w:r>
    <w:r>
      <w:t>/</w:t>
    </w:r>
    <w:r w:rsidR="003F0A31">
      <w:fldChar w:fldCharType="begin"/>
    </w:r>
    <w:r w:rsidR="003F0A31">
      <w:instrText xml:space="preserve"> NUMPAGES </w:instrText>
    </w:r>
    <w:r w:rsidR="003F0A31">
      <w:fldChar w:fldCharType="separate"/>
    </w:r>
    <w:r w:rsidR="00D0570D">
      <w:rPr>
        <w:noProof/>
      </w:rPr>
      <w:t>22</w:t>
    </w:r>
    <w:r w:rsidR="003F0A31">
      <w:rPr>
        <w:noProof/>
      </w:rPr>
      <w:fldChar w:fldCharType="end"/>
    </w:r>
  </w:p>
  <w:p w:rsidR="00BC2D38" w:rsidRDefault="00BC2D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A31" w:rsidRDefault="003F0A31" w:rsidP="00D06B0B">
      <w:r>
        <w:separator/>
      </w:r>
    </w:p>
  </w:footnote>
  <w:footnote w:type="continuationSeparator" w:id="0">
    <w:p w:rsidR="003F0A31" w:rsidRDefault="003F0A31" w:rsidP="00D06B0B">
      <w:r>
        <w:continuationSeparator/>
      </w:r>
    </w:p>
  </w:footnote>
  <w:footnote w:id="1">
    <w:p w:rsidR="00BC2D38" w:rsidRDefault="00BC2D38">
      <w:pPr>
        <w:pStyle w:val="Tekstprzypisudolnego"/>
      </w:pPr>
      <w:r>
        <w:rPr>
          <w:rStyle w:val="Odwoanieprzypisudolnego"/>
        </w:rPr>
        <w:footnoteRef/>
      </w:r>
      <w:r>
        <w:t xml:space="preserve"> Niniejsze dokumenty opracował Wydział Badań i Biblioteki pod nadzorem Jurisconsult. Dokument nie jest wiążący dla Europejskiego Trybunału Praw Człowieka.</w:t>
      </w:r>
    </w:p>
  </w:footnote>
  <w:footnote w:id="2">
    <w:p w:rsidR="00BC2D38" w:rsidRDefault="00BC2D38" w:rsidP="00A512D2">
      <w:pPr>
        <w:pStyle w:val="ECHRBullet1"/>
        <w:numPr>
          <w:ilvl w:val="0"/>
          <w:numId w:val="0"/>
        </w:numPr>
        <w:rPr>
          <w:rFonts w:cs="Times New Roman"/>
        </w:rPr>
      </w:pPr>
      <w:r>
        <w:rPr>
          <w:rStyle w:val="Odwoanieprzypisudolnego"/>
          <w:rFonts w:cs="Times New Roman"/>
          <w:sz w:val="20"/>
          <w:szCs w:val="20"/>
        </w:rPr>
        <w:footnoteRef/>
      </w:r>
      <w:r>
        <w:rPr>
          <w:sz w:val="20"/>
          <w:szCs w:val="20"/>
        </w:rPr>
        <w:t xml:space="preserve"> Więcej informacji na temat art. 10 i powściągliwości sędziego – zob. </w:t>
      </w:r>
      <w:hyperlink w:anchor="art10" w:history="1">
        <w:r>
          <w:rPr>
            <w:rStyle w:val="Hipercze"/>
            <w:sz w:val="20"/>
            <w:szCs w:val="20"/>
          </w:rPr>
          <w:t>Artykuł 10</w:t>
        </w:r>
      </w:hyperlink>
      <w:r>
        <w:rPr>
          <w:rStyle w:val="Hipercze"/>
          <w:color w:val="auto"/>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33" w:type="dxa"/>
      <w:tblInd w:w="2" w:type="dxa"/>
      <w:tblBorders>
        <w:bottom w:val="single" w:sz="6" w:space="0" w:color="949494"/>
      </w:tblBorders>
      <w:tblCellMar>
        <w:left w:w="0" w:type="dxa"/>
        <w:bottom w:w="28" w:type="dxa"/>
        <w:right w:w="0" w:type="dxa"/>
      </w:tblCellMar>
      <w:tblLook w:val="01E0" w:firstRow="1" w:lastRow="1" w:firstColumn="1" w:lastColumn="1" w:noHBand="0" w:noVBand="0"/>
    </w:tblPr>
    <w:tblGrid>
      <w:gridCol w:w="4487"/>
      <w:gridCol w:w="5946"/>
    </w:tblGrid>
    <w:tr w:rsidR="00BC2D38" w:rsidRPr="00D238AF">
      <w:tc>
        <w:tcPr>
          <w:tcW w:w="4487" w:type="dxa"/>
          <w:tcBorders>
            <w:bottom w:val="single" w:sz="6" w:space="0" w:color="949494"/>
          </w:tcBorders>
          <w:vAlign w:val="bottom"/>
        </w:tcPr>
        <w:p w:rsidR="00BC2D38" w:rsidRPr="00D238AF" w:rsidRDefault="00D0570D" w:rsidP="00D10E25">
          <w:pPr>
            <w:rPr>
              <w:sz w:val="4"/>
              <w:szCs w:val="4"/>
            </w:rPr>
          </w:pPr>
          <w:r>
            <w:rPr>
              <w:noProof/>
              <w:sz w:val="4"/>
              <w:szCs w:val="4"/>
              <w:lang w:eastAsia="pl-PL"/>
            </w:rPr>
            <w:drawing>
              <wp:inline distT="0" distB="0" distL="0" distR="0">
                <wp:extent cx="2562225" cy="895350"/>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895350"/>
                        </a:xfrm>
                        <a:prstGeom prst="rect">
                          <a:avLst/>
                        </a:prstGeom>
                        <a:noFill/>
                        <a:ln>
                          <a:noFill/>
                        </a:ln>
                      </pic:spPr>
                    </pic:pic>
                  </a:graphicData>
                </a:graphic>
              </wp:inline>
            </w:drawing>
          </w:r>
        </w:p>
        <w:p w:rsidR="00BC2D38" w:rsidRPr="00D238AF" w:rsidRDefault="00BC2D38" w:rsidP="00D10E25">
          <w:pPr>
            <w:rPr>
              <w:sz w:val="4"/>
              <w:szCs w:val="4"/>
            </w:rPr>
          </w:pPr>
        </w:p>
      </w:tc>
      <w:tc>
        <w:tcPr>
          <w:tcW w:w="5946" w:type="dxa"/>
          <w:tcBorders>
            <w:bottom w:val="single" w:sz="6" w:space="0" w:color="949494"/>
          </w:tcBorders>
          <w:vAlign w:val="bottom"/>
        </w:tcPr>
        <w:p w:rsidR="00BC2D38" w:rsidRPr="00D238AF" w:rsidRDefault="00D0570D" w:rsidP="00D10E25">
          <w:pPr>
            <w:pStyle w:val="ECHRHeaderRefIt"/>
            <w:rPr>
              <w:noProof/>
              <w:sz w:val="4"/>
              <w:szCs w:val="4"/>
            </w:rPr>
          </w:pPr>
          <w:r>
            <w:rPr>
              <w:noProof/>
              <w:sz w:val="4"/>
              <w:szCs w:val="4"/>
              <w:lang w:eastAsia="pl-PL"/>
            </w:rPr>
            <w:drawing>
              <wp:inline distT="0" distB="0" distL="0" distR="0">
                <wp:extent cx="866775" cy="361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p>
      </w:tc>
    </w:tr>
  </w:tbl>
  <w:p w:rsidR="00BC2D38" w:rsidRDefault="00BC2D38" w:rsidP="00D10E25">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33" w:type="dxa"/>
      <w:tblInd w:w="2" w:type="dxa"/>
      <w:tblBorders>
        <w:bottom w:val="single" w:sz="6" w:space="0" w:color="949494"/>
      </w:tblBorders>
      <w:tblCellMar>
        <w:left w:w="0" w:type="dxa"/>
        <w:bottom w:w="28" w:type="dxa"/>
        <w:right w:w="0" w:type="dxa"/>
      </w:tblCellMar>
      <w:tblLook w:val="01E0" w:firstRow="1" w:lastRow="1" w:firstColumn="1" w:lastColumn="1" w:noHBand="0" w:noVBand="0"/>
    </w:tblPr>
    <w:tblGrid>
      <w:gridCol w:w="4487"/>
      <w:gridCol w:w="5946"/>
    </w:tblGrid>
    <w:tr w:rsidR="00BC2D38" w:rsidRPr="00D238AF">
      <w:tc>
        <w:tcPr>
          <w:tcW w:w="4487" w:type="dxa"/>
          <w:tcBorders>
            <w:bottom w:val="single" w:sz="6" w:space="0" w:color="949494"/>
          </w:tcBorders>
          <w:vAlign w:val="bottom"/>
        </w:tcPr>
        <w:p w:rsidR="00BC2D38" w:rsidRPr="00D238AF" w:rsidRDefault="00D0570D" w:rsidP="00D10E25">
          <w:pPr>
            <w:rPr>
              <w:sz w:val="4"/>
              <w:szCs w:val="4"/>
            </w:rPr>
          </w:pPr>
          <w:r>
            <w:rPr>
              <w:noProof/>
              <w:sz w:val="4"/>
              <w:szCs w:val="4"/>
              <w:lang w:eastAsia="pl-PL"/>
            </w:rPr>
            <w:drawing>
              <wp:inline distT="0" distB="0" distL="0" distR="0">
                <wp:extent cx="2562225" cy="895350"/>
                <wp:effectExtent l="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895350"/>
                        </a:xfrm>
                        <a:prstGeom prst="rect">
                          <a:avLst/>
                        </a:prstGeom>
                        <a:noFill/>
                        <a:ln>
                          <a:noFill/>
                        </a:ln>
                      </pic:spPr>
                    </pic:pic>
                  </a:graphicData>
                </a:graphic>
              </wp:inline>
            </w:drawing>
          </w:r>
        </w:p>
        <w:p w:rsidR="00BC2D38" w:rsidRPr="00D238AF" w:rsidRDefault="00BC2D38" w:rsidP="00D10E25">
          <w:pPr>
            <w:rPr>
              <w:sz w:val="4"/>
              <w:szCs w:val="4"/>
            </w:rPr>
          </w:pPr>
        </w:p>
      </w:tc>
      <w:tc>
        <w:tcPr>
          <w:tcW w:w="5946" w:type="dxa"/>
          <w:tcBorders>
            <w:bottom w:val="single" w:sz="6" w:space="0" w:color="949494"/>
          </w:tcBorders>
          <w:vAlign w:val="bottom"/>
        </w:tcPr>
        <w:p w:rsidR="00BC2D38" w:rsidRPr="00D238AF" w:rsidRDefault="00D0570D" w:rsidP="00D10E25">
          <w:pPr>
            <w:pStyle w:val="ECHRHeaderRefIt"/>
            <w:rPr>
              <w:noProof/>
              <w:sz w:val="4"/>
              <w:szCs w:val="4"/>
            </w:rPr>
          </w:pPr>
          <w:r>
            <w:rPr>
              <w:noProof/>
              <w:sz w:val="4"/>
              <w:szCs w:val="4"/>
              <w:lang w:eastAsia="pl-PL"/>
            </w:rPr>
            <w:drawing>
              <wp:inline distT="0" distB="0" distL="0" distR="0">
                <wp:extent cx="866775" cy="361950"/>
                <wp:effectExtent l="0" t="0" r="0" b="0"/>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p>
      </w:tc>
    </w:tr>
  </w:tbl>
  <w:p w:rsidR="00BC2D38" w:rsidRDefault="00BC2D3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33" w:type="dxa"/>
      <w:tblInd w:w="2" w:type="dxa"/>
      <w:tblBorders>
        <w:bottom w:val="single" w:sz="6" w:space="0" w:color="949494"/>
      </w:tblBorders>
      <w:tblCellMar>
        <w:left w:w="0" w:type="dxa"/>
        <w:bottom w:w="28" w:type="dxa"/>
        <w:right w:w="0" w:type="dxa"/>
      </w:tblCellMar>
      <w:tblLook w:val="01E0" w:firstRow="1" w:lastRow="1" w:firstColumn="1" w:lastColumn="1" w:noHBand="0" w:noVBand="0"/>
    </w:tblPr>
    <w:tblGrid>
      <w:gridCol w:w="4487"/>
      <w:gridCol w:w="5946"/>
    </w:tblGrid>
    <w:tr w:rsidR="00BC2D38" w:rsidRPr="00D238AF">
      <w:tc>
        <w:tcPr>
          <w:tcW w:w="4487" w:type="dxa"/>
          <w:tcBorders>
            <w:bottom w:val="single" w:sz="6" w:space="0" w:color="949494"/>
          </w:tcBorders>
          <w:vAlign w:val="bottom"/>
        </w:tcPr>
        <w:p w:rsidR="00BC2D38" w:rsidRPr="00D238AF" w:rsidRDefault="00D0570D" w:rsidP="00D10E25">
          <w:pPr>
            <w:rPr>
              <w:sz w:val="4"/>
              <w:szCs w:val="4"/>
            </w:rPr>
          </w:pPr>
          <w:r>
            <w:rPr>
              <w:noProof/>
              <w:sz w:val="4"/>
              <w:szCs w:val="4"/>
              <w:lang w:eastAsia="pl-PL"/>
            </w:rPr>
            <w:drawing>
              <wp:inline distT="0" distB="0" distL="0" distR="0">
                <wp:extent cx="2562225" cy="8953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895350"/>
                        </a:xfrm>
                        <a:prstGeom prst="rect">
                          <a:avLst/>
                        </a:prstGeom>
                        <a:noFill/>
                        <a:ln>
                          <a:noFill/>
                        </a:ln>
                      </pic:spPr>
                    </pic:pic>
                  </a:graphicData>
                </a:graphic>
              </wp:inline>
            </w:drawing>
          </w:r>
        </w:p>
        <w:p w:rsidR="00BC2D38" w:rsidRPr="00D238AF" w:rsidRDefault="00BC2D38" w:rsidP="00D10E25">
          <w:pPr>
            <w:rPr>
              <w:sz w:val="4"/>
              <w:szCs w:val="4"/>
            </w:rPr>
          </w:pPr>
        </w:p>
      </w:tc>
      <w:tc>
        <w:tcPr>
          <w:tcW w:w="5946" w:type="dxa"/>
          <w:tcBorders>
            <w:bottom w:val="single" w:sz="6" w:space="0" w:color="949494"/>
          </w:tcBorders>
          <w:vAlign w:val="bottom"/>
        </w:tcPr>
        <w:p w:rsidR="00BC2D38" w:rsidRPr="00D238AF" w:rsidRDefault="00D0570D" w:rsidP="00D10E25">
          <w:pPr>
            <w:pStyle w:val="ECHRHeaderRefIt"/>
            <w:rPr>
              <w:noProof/>
              <w:sz w:val="4"/>
              <w:szCs w:val="4"/>
            </w:rPr>
          </w:pPr>
          <w:r>
            <w:rPr>
              <w:noProof/>
              <w:sz w:val="4"/>
              <w:szCs w:val="4"/>
              <w:lang w:eastAsia="pl-PL"/>
            </w:rPr>
            <w:drawing>
              <wp:inline distT="0" distB="0" distL="0" distR="0">
                <wp:extent cx="866775" cy="36195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p>
      </w:tc>
    </w:tr>
  </w:tbl>
  <w:p w:rsidR="00BC2D38" w:rsidRDefault="00BC2D38">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33" w:type="dxa"/>
      <w:tblInd w:w="2" w:type="dxa"/>
      <w:tblBorders>
        <w:bottom w:val="single" w:sz="6" w:space="0" w:color="949494"/>
      </w:tblBorders>
      <w:tblCellMar>
        <w:left w:w="0" w:type="dxa"/>
        <w:bottom w:w="28" w:type="dxa"/>
        <w:right w:w="0" w:type="dxa"/>
      </w:tblCellMar>
      <w:tblLook w:val="01E0" w:firstRow="1" w:lastRow="1" w:firstColumn="1" w:lastColumn="1" w:noHBand="0" w:noVBand="0"/>
    </w:tblPr>
    <w:tblGrid>
      <w:gridCol w:w="4487"/>
      <w:gridCol w:w="5946"/>
    </w:tblGrid>
    <w:tr w:rsidR="00BC2D38" w:rsidRPr="00D238AF">
      <w:tc>
        <w:tcPr>
          <w:tcW w:w="4487" w:type="dxa"/>
          <w:tcBorders>
            <w:bottom w:val="single" w:sz="6" w:space="0" w:color="949494"/>
          </w:tcBorders>
          <w:vAlign w:val="bottom"/>
        </w:tcPr>
        <w:p w:rsidR="00BC2D38" w:rsidRPr="00D238AF" w:rsidRDefault="00BC2D38" w:rsidP="00D10E25">
          <w:pPr>
            <w:rPr>
              <w:sz w:val="4"/>
              <w:szCs w:val="4"/>
            </w:rPr>
          </w:pPr>
        </w:p>
        <w:p w:rsidR="00BC2D38" w:rsidRPr="00D238AF" w:rsidRDefault="00BC2D38" w:rsidP="00D10E25">
          <w:pPr>
            <w:rPr>
              <w:sz w:val="4"/>
              <w:szCs w:val="4"/>
            </w:rPr>
          </w:pPr>
        </w:p>
      </w:tc>
      <w:tc>
        <w:tcPr>
          <w:tcW w:w="5946" w:type="dxa"/>
          <w:tcBorders>
            <w:bottom w:val="single" w:sz="6" w:space="0" w:color="949494"/>
          </w:tcBorders>
          <w:vAlign w:val="bottom"/>
        </w:tcPr>
        <w:p w:rsidR="00BC2D38" w:rsidRPr="00D238AF" w:rsidRDefault="00D0570D" w:rsidP="00D10E25">
          <w:pPr>
            <w:pStyle w:val="ECHRHeaderRefIt"/>
            <w:rPr>
              <w:noProof/>
              <w:sz w:val="4"/>
              <w:szCs w:val="4"/>
            </w:rPr>
          </w:pPr>
          <w:r>
            <w:rPr>
              <w:noProof/>
              <w:sz w:val="4"/>
              <w:szCs w:val="4"/>
              <w:lang w:eastAsia="pl-PL"/>
            </w:rPr>
            <w:drawing>
              <wp:inline distT="0" distB="0" distL="0" distR="0">
                <wp:extent cx="866775" cy="36195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p>
      </w:tc>
    </w:tr>
  </w:tbl>
  <w:p w:rsidR="00BC2D38" w:rsidRDefault="00BC2D38" w:rsidP="00775C6F">
    <w:pPr>
      <w:pStyle w:val="Nagwek"/>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33" w:type="dxa"/>
      <w:tblInd w:w="2" w:type="dxa"/>
      <w:tblBorders>
        <w:bottom w:val="single" w:sz="6" w:space="0" w:color="949494"/>
      </w:tblBorders>
      <w:tblCellMar>
        <w:left w:w="0" w:type="dxa"/>
        <w:bottom w:w="28" w:type="dxa"/>
        <w:right w:w="0" w:type="dxa"/>
      </w:tblCellMar>
      <w:tblLook w:val="01E0" w:firstRow="1" w:lastRow="1" w:firstColumn="1" w:lastColumn="1" w:noHBand="0" w:noVBand="0"/>
    </w:tblPr>
    <w:tblGrid>
      <w:gridCol w:w="4487"/>
      <w:gridCol w:w="5946"/>
    </w:tblGrid>
    <w:tr w:rsidR="00BC2D38" w:rsidRPr="00D238AF">
      <w:tc>
        <w:tcPr>
          <w:tcW w:w="4487" w:type="dxa"/>
          <w:tcBorders>
            <w:bottom w:val="single" w:sz="6" w:space="0" w:color="949494"/>
          </w:tcBorders>
          <w:vAlign w:val="bottom"/>
        </w:tcPr>
        <w:p w:rsidR="00BC2D38" w:rsidRPr="00D238AF" w:rsidRDefault="00BC2D38" w:rsidP="00D10E25">
          <w:pPr>
            <w:rPr>
              <w:sz w:val="4"/>
              <w:szCs w:val="4"/>
            </w:rPr>
          </w:pPr>
        </w:p>
        <w:p w:rsidR="00BC2D38" w:rsidRPr="00D238AF" w:rsidRDefault="00BC2D38" w:rsidP="00D10E25">
          <w:pPr>
            <w:rPr>
              <w:sz w:val="4"/>
              <w:szCs w:val="4"/>
            </w:rPr>
          </w:pPr>
        </w:p>
      </w:tc>
      <w:tc>
        <w:tcPr>
          <w:tcW w:w="5946" w:type="dxa"/>
          <w:tcBorders>
            <w:bottom w:val="single" w:sz="6" w:space="0" w:color="949494"/>
          </w:tcBorders>
          <w:vAlign w:val="bottom"/>
        </w:tcPr>
        <w:p w:rsidR="00BC2D38" w:rsidRPr="00D238AF" w:rsidRDefault="00D0570D" w:rsidP="00D10E25">
          <w:pPr>
            <w:pStyle w:val="ECHRHeaderRefIt"/>
            <w:rPr>
              <w:noProof/>
              <w:sz w:val="4"/>
              <w:szCs w:val="4"/>
            </w:rPr>
          </w:pPr>
          <w:r>
            <w:rPr>
              <w:noProof/>
              <w:sz w:val="4"/>
              <w:szCs w:val="4"/>
              <w:lang w:eastAsia="pl-PL"/>
            </w:rPr>
            <w:drawing>
              <wp:inline distT="0" distB="0" distL="0" distR="0">
                <wp:extent cx="866775" cy="36195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p>
      </w:tc>
    </w:tr>
  </w:tbl>
  <w:p w:rsidR="00BC2D38" w:rsidRDefault="00BC2D3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085AC83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87486FE2"/>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4A528BA6"/>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366C20B0"/>
    <w:lvl w:ilvl="0">
      <w:start w:val="1"/>
      <w:numFmt w:val="decimal"/>
      <w:lvlText w:val="%1."/>
      <w:lvlJc w:val="left"/>
      <w:pPr>
        <w:tabs>
          <w:tab w:val="num" w:pos="360"/>
        </w:tabs>
        <w:ind w:left="360" w:hanging="360"/>
      </w:pPr>
    </w:lvl>
  </w:abstractNum>
  <w:abstractNum w:abstractNumId="9" w15:restartNumberingAfterBreak="0">
    <w:nsid w:val="0227407A"/>
    <w:multiLevelType w:val="multilevel"/>
    <w:tmpl w:val="8D2EA84E"/>
    <w:lvl w:ilvl="0">
      <w:start w:val="1"/>
      <w:numFmt w:val="lowerLetter"/>
      <w:lvlText w:val="%1."/>
      <w:lvlJc w:val="left"/>
      <w:pPr>
        <w:tabs>
          <w:tab w:val="num" w:pos="964"/>
        </w:tabs>
        <w:ind w:left="964" w:hanging="397"/>
      </w:pPr>
      <w:rPr>
        <w:rFonts w:hint="default"/>
      </w:rPr>
    </w:lvl>
    <w:lvl w:ilvl="1">
      <w:start w:val="1"/>
      <w:numFmt w:val="decimal"/>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0" w15:restartNumberingAfterBreak="0">
    <w:nsid w:val="04380078"/>
    <w:multiLevelType w:val="hybridMultilevel"/>
    <w:tmpl w:val="4EFA2E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0CE31721"/>
    <w:multiLevelType w:val="multilevel"/>
    <w:tmpl w:val="EAB0152A"/>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D475F0"/>
    <w:multiLevelType w:val="hybridMultilevel"/>
    <w:tmpl w:val="B1F46E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250B3D4F"/>
    <w:multiLevelType w:val="hybridMultilevel"/>
    <w:tmpl w:val="97727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7D5546B"/>
    <w:multiLevelType w:val="multilevel"/>
    <w:tmpl w:val="EAB0152A"/>
    <w:styleLink w:val="ECHRA1StyleList"/>
    <w:lvl w:ilvl="0">
      <w:start w:val="1"/>
      <w:numFmt w:val="decimal"/>
      <w:pStyle w:val="ECHRList1"/>
      <w:lvlText w:val="%1."/>
      <w:lvlJc w:val="left"/>
      <w:pPr>
        <w:tabs>
          <w:tab w:val="num" w:pos="397"/>
        </w:tabs>
        <w:ind w:left="397" w:hanging="397"/>
      </w:pPr>
      <w:rPr>
        <w:rFonts w:hint="default"/>
      </w:rPr>
    </w:lvl>
    <w:lvl w:ilvl="1">
      <w:start w:val="1"/>
      <w:numFmt w:val="lowerLetter"/>
      <w:pStyle w:val="ECHRList2"/>
      <w:lvlText w:val="%2."/>
      <w:lvlJc w:val="left"/>
      <w:pPr>
        <w:tabs>
          <w:tab w:val="num" w:pos="794"/>
        </w:tabs>
        <w:ind w:left="794" w:hanging="397"/>
      </w:pPr>
      <w:rPr>
        <w:rFonts w:hint="default"/>
      </w:rPr>
    </w:lvl>
    <w:lvl w:ilvl="2">
      <w:start w:val="1"/>
      <w:numFmt w:val="lowerRoman"/>
      <w:pStyle w:val="ECHRList3"/>
      <w:lvlText w:val="%3."/>
      <w:lvlJc w:val="left"/>
      <w:pPr>
        <w:tabs>
          <w:tab w:val="num" w:pos="1191"/>
        </w:tabs>
        <w:ind w:left="1191"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5E6A40"/>
    <w:multiLevelType w:val="multilevel"/>
    <w:tmpl w:val="EAB0152A"/>
    <w:numStyleLink w:val="ECHRA1StyleList"/>
  </w:abstractNum>
  <w:abstractNum w:abstractNumId="16" w15:restartNumberingAfterBreak="0">
    <w:nsid w:val="388D47DE"/>
    <w:multiLevelType w:val="multilevel"/>
    <w:tmpl w:val="8012C870"/>
    <w:lvl w:ilvl="0">
      <w:start w:val="1"/>
      <w:numFmt w:val="decimal"/>
      <w:lvlText w:val="%1."/>
      <w:lvlJc w:val="left"/>
      <w:pPr>
        <w:ind w:left="992"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4C3B66"/>
    <w:multiLevelType w:val="multilevel"/>
    <w:tmpl w:val="040C0023"/>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EE64282"/>
    <w:multiLevelType w:val="multilevel"/>
    <w:tmpl w:val="8D2EA84E"/>
    <w:lvl w:ilvl="0">
      <w:start w:val="1"/>
      <w:numFmt w:val="lowerLetter"/>
      <w:lvlText w:val="%1."/>
      <w:lvlJc w:val="left"/>
      <w:pPr>
        <w:tabs>
          <w:tab w:val="num" w:pos="964"/>
        </w:tabs>
        <w:ind w:left="964" w:hanging="397"/>
      </w:pPr>
      <w:rPr>
        <w:rFonts w:hint="default"/>
      </w:rPr>
    </w:lvl>
    <w:lvl w:ilvl="1">
      <w:start w:val="1"/>
      <w:numFmt w:val="decimal"/>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9" w15:restartNumberingAfterBreak="0">
    <w:nsid w:val="416B5801"/>
    <w:multiLevelType w:val="multilevel"/>
    <w:tmpl w:val="79A89570"/>
    <w:lvl w:ilvl="0">
      <w:start w:val="1"/>
      <w:numFmt w:val="none"/>
      <w:suff w:val="nothing"/>
      <w:lvlText w:val=""/>
      <w:lvlJc w:val="left"/>
      <w:rPr>
        <w:rFonts w:hint="default"/>
      </w:rPr>
    </w:lvl>
    <w:lvl w:ilvl="1">
      <w:start w:val="1"/>
      <w:numFmt w:val="upperRoman"/>
      <w:suff w:val="space"/>
      <w:lvlText w:val="%2."/>
      <w:lvlJc w:val="left"/>
      <w:rPr>
        <w:rFonts w:hint="default"/>
      </w:rPr>
    </w:lvl>
    <w:lvl w:ilvl="2">
      <w:start w:val="1"/>
      <w:numFmt w:val="upperLetter"/>
      <w:suff w:val="space"/>
      <w:lvlText w:val="%3."/>
      <w:lvlJc w:val="left"/>
      <w:rPr>
        <w:rFonts w:hint="default"/>
      </w:rPr>
    </w:lvl>
    <w:lvl w:ilvl="3">
      <w:start w:val="1"/>
      <w:numFmt w:val="decimal"/>
      <w:suff w:val="space"/>
      <w:lvlText w:val="%4."/>
      <w:lvlJc w:val="left"/>
      <w:rPr>
        <w:rFonts w:hint="default"/>
      </w:rPr>
    </w:lvl>
    <w:lvl w:ilvl="4">
      <w:start w:val="1"/>
      <w:numFmt w:val="lowerLetter"/>
      <w:suff w:val="space"/>
      <w:lvlText w:val="%5."/>
      <w:lvlJc w:val="left"/>
      <w:rPr>
        <w:rFonts w:hint="default"/>
      </w:rPr>
    </w:lvl>
    <w:lvl w:ilvl="5">
      <w:start w:val="1"/>
      <w:numFmt w:val="lowerRoman"/>
      <w:suff w:val="space"/>
      <w:lvlText w:val="%6."/>
      <w:lvlJc w:val="left"/>
      <w:rPr>
        <w:rFonts w:ascii="Calibri" w:hAnsi="Calibri" w:cs="Calibri" w:hint="default"/>
      </w:rPr>
    </w:lvl>
    <w:lvl w:ilvl="6">
      <w:start w:val="1"/>
      <w:numFmt w:val="bullet"/>
      <w:suff w:val="space"/>
      <w:lvlText w:val="‒"/>
      <w:lvlJc w:val="left"/>
      <w:rPr>
        <w:rFonts w:ascii="Calibri" w:hAnsi="Calibri" w:cs="Calibri" w:hint="default"/>
        <w:color w:val="auto"/>
      </w:rPr>
    </w:lvl>
    <w:lvl w:ilvl="7">
      <w:start w:val="1"/>
      <w:numFmt w:val="none"/>
      <w:suff w:val="space"/>
      <w:lvlText w:val=""/>
      <w:lvlJc w:val="left"/>
      <w:rPr>
        <w:rFonts w:hint="default"/>
        <w:color w:val="auto"/>
      </w:rPr>
    </w:lvl>
    <w:lvl w:ilvl="8">
      <w:start w:val="1"/>
      <w:numFmt w:val="none"/>
      <w:suff w:val="space"/>
      <w:lvlText w:val=""/>
      <w:lvlJc w:val="left"/>
      <w:rPr>
        <w:rFonts w:hint="default"/>
        <w:color w:val="auto"/>
      </w:rPr>
    </w:lvl>
  </w:abstractNum>
  <w:abstractNum w:abstractNumId="20" w15:restartNumberingAfterBreak="0">
    <w:nsid w:val="4333366E"/>
    <w:multiLevelType w:val="multilevel"/>
    <w:tmpl w:val="886C1D44"/>
    <w:lvl w:ilvl="0">
      <w:start w:val="1"/>
      <w:numFmt w:val="bullet"/>
      <w:lvlText w:val=""/>
      <w:lvlJc w:val="left"/>
      <w:pPr>
        <w:tabs>
          <w:tab w:val="num" w:pos="964"/>
        </w:tabs>
        <w:ind w:left="964" w:hanging="397"/>
      </w:pPr>
      <w:rPr>
        <w:rFonts w:ascii="Wingdings" w:hAnsi="Wingdings" w:cs="Wingdings" w:hint="default"/>
        <w:color w:val="0072BC"/>
      </w:rPr>
    </w:lvl>
    <w:lvl w:ilvl="1">
      <w:start w:val="1"/>
      <w:numFmt w:val="bullet"/>
      <w:lvlText w:val=""/>
      <w:lvlJc w:val="left"/>
      <w:pPr>
        <w:tabs>
          <w:tab w:val="num" w:pos="1191"/>
        </w:tabs>
        <w:ind w:left="1191" w:hanging="227"/>
      </w:pPr>
      <w:rPr>
        <w:rFonts w:ascii="Wingdings" w:hAnsi="Wingdings" w:cs="Wingdings" w:hint="default"/>
        <w:color w:val="0072BC"/>
      </w:rPr>
    </w:lvl>
    <w:lvl w:ilvl="2">
      <w:start w:val="1"/>
      <w:numFmt w:val="bullet"/>
      <w:lvlText w:val=""/>
      <w:lvlJc w:val="left"/>
      <w:pPr>
        <w:tabs>
          <w:tab w:val="num" w:pos="1588"/>
        </w:tabs>
        <w:ind w:left="1588" w:hanging="397"/>
      </w:pPr>
      <w:rPr>
        <w:rFonts w:ascii="Wingdings" w:hAnsi="Wingdings" w:cs="Wingdings" w:hint="default"/>
        <w:color w:val="7F7F7F"/>
      </w:rPr>
    </w:lvl>
    <w:lvl w:ilvl="3">
      <w:start w:val="1"/>
      <w:numFmt w:val="bullet"/>
      <w:lvlText w:val=""/>
      <w:lvlJc w:val="left"/>
      <w:pPr>
        <w:tabs>
          <w:tab w:val="num" w:pos="1985"/>
        </w:tabs>
        <w:ind w:left="1985" w:hanging="397"/>
      </w:pPr>
      <w:rPr>
        <w:rFonts w:ascii="Wingdings" w:hAnsi="Wingdings" w:cs="Wingdings" w:hint="default"/>
        <w:color w:val="7F7F7F"/>
      </w:rPr>
    </w:lvl>
    <w:lvl w:ilvl="4">
      <w:start w:val="1"/>
      <w:numFmt w:val="bullet"/>
      <w:lvlText w:val=""/>
      <w:lvlJc w:val="left"/>
      <w:pPr>
        <w:tabs>
          <w:tab w:val="num" w:pos="1760"/>
        </w:tabs>
        <w:ind w:left="1987" w:hanging="284"/>
      </w:pPr>
      <w:rPr>
        <w:rFonts w:ascii="Wingdings" w:hAnsi="Wingdings" w:cs="Wingdings" w:hint="default"/>
        <w:color w:val="0072BC"/>
      </w:rPr>
    </w:lvl>
    <w:lvl w:ilvl="5">
      <w:start w:val="1"/>
      <w:numFmt w:val="bullet"/>
      <w:lvlText w:val=""/>
      <w:lvlJc w:val="left"/>
      <w:pPr>
        <w:tabs>
          <w:tab w:val="num" w:pos="2044"/>
        </w:tabs>
        <w:ind w:left="2271" w:hanging="284"/>
      </w:pPr>
      <w:rPr>
        <w:rFonts w:ascii="Wingdings" w:hAnsi="Wingdings" w:cs="Wingdings" w:hint="default"/>
        <w:color w:val="5F5F5F"/>
      </w:rPr>
    </w:lvl>
    <w:lvl w:ilvl="6">
      <w:start w:val="1"/>
      <w:numFmt w:val="bullet"/>
      <w:lvlText w:val=""/>
      <w:lvlJc w:val="left"/>
      <w:pPr>
        <w:tabs>
          <w:tab w:val="num" w:pos="2328"/>
        </w:tabs>
        <w:ind w:left="2555" w:hanging="284"/>
      </w:pPr>
      <w:rPr>
        <w:rFonts w:ascii="Symbol" w:hAnsi="Symbol" w:cs="Symbol" w:hint="default"/>
      </w:rPr>
    </w:lvl>
    <w:lvl w:ilvl="7">
      <w:start w:val="1"/>
      <w:numFmt w:val="bullet"/>
      <w:lvlText w:val="o"/>
      <w:lvlJc w:val="left"/>
      <w:pPr>
        <w:tabs>
          <w:tab w:val="num" w:pos="2612"/>
        </w:tabs>
        <w:ind w:left="2839" w:hanging="284"/>
      </w:pPr>
      <w:rPr>
        <w:rFonts w:ascii="Courier New" w:hAnsi="Courier New" w:cs="Courier New" w:hint="default"/>
      </w:rPr>
    </w:lvl>
    <w:lvl w:ilvl="8">
      <w:start w:val="1"/>
      <w:numFmt w:val="bullet"/>
      <w:lvlText w:val=""/>
      <w:lvlJc w:val="left"/>
      <w:pPr>
        <w:tabs>
          <w:tab w:val="num" w:pos="2896"/>
        </w:tabs>
        <w:ind w:left="3123" w:hanging="284"/>
      </w:pPr>
      <w:rPr>
        <w:rFonts w:ascii="Wingdings" w:hAnsi="Wingdings" w:cs="Wingdings" w:hint="default"/>
      </w:rPr>
    </w:lvl>
  </w:abstractNum>
  <w:abstractNum w:abstractNumId="21" w15:restartNumberingAfterBreak="0">
    <w:nsid w:val="474B45CC"/>
    <w:multiLevelType w:val="multilevel"/>
    <w:tmpl w:val="886C1D44"/>
    <w:lvl w:ilvl="0">
      <w:start w:val="1"/>
      <w:numFmt w:val="bullet"/>
      <w:lvlText w:val=""/>
      <w:lvlJc w:val="left"/>
      <w:pPr>
        <w:tabs>
          <w:tab w:val="num" w:pos="964"/>
        </w:tabs>
        <w:ind w:left="964" w:hanging="397"/>
      </w:pPr>
      <w:rPr>
        <w:rFonts w:ascii="Wingdings" w:hAnsi="Wingdings" w:cs="Wingdings" w:hint="default"/>
        <w:color w:val="0072BC"/>
      </w:rPr>
    </w:lvl>
    <w:lvl w:ilvl="1">
      <w:start w:val="1"/>
      <w:numFmt w:val="bullet"/>
      <w:lvlText w:val=""/>
      <w:lvlJc w:val="left"/>
      <w:pPr>
        <w:tabs>
          <w:tab w:val="num" w:pos="1191"/>
        </w:tabs>
        <w:ind w:left="1191" w:hanging="227"/>
      </w:pPr>
      <w:rPr>
        <w:rFonts w:ascii="Wingdings" w:hAnsi="Wingdings" w:cs="Wingdings" w:hint="default"/>
        <w:color w:val="0072BC"/>
      </w:rPr>
    </w:lvl>
    <w:lvl w:ilvl="2">
      <w:start w:val="1"/>
      <w:numFmt w:val="bullet"/>
      <w:lvlText w:val=""/>
      <w:lvlJc w:val="left"/>
      <w:pPr>
        <w:tabs>
          <w:tab w:val="num" w:pos="1588"/>
        </w:tabs>
        <w:ind w:left="1588" w:hanging="397"/>
      </w:pPr>
      <w:rPr>
        <w:rFonts w:ascii="Wingdings" w:hAnsi="Wingdings" w:cs="Wingdings" w:hint="default"/>
        <w:color w:val="7F7F7F"/>
      </w:rPr>
    </w:lvl>
    <w:lvl w:ilvl="3">
      <w:start w:val="1"/>
      <w:numFmt w:val="bullet"/>
      <w:lvlText w:val=""/>
      <w:lvlJc w:val="left"/>
      <w:pPr>
        <w:tabs>
          <w:tab w:val="num" w:pos="1985"/>
        </w:tabs>
        <w:ind w:left="1985" w:hanging="397"/>
      </w:pPr>
      <w:rPr>
        <w:rFonts w:ascii="Wingdings" w:hAnsi="Wingdings" w:cs="Wingdings" w:hint="default"/>
        <w:color w:val="7F7F7F"/>
      </w:rPr>
    </w:lvl>
    <w:lvl w:ilvl="4">
      <w:start w:val="1"/>
      <w:numFmt w:val="bullet"/>
      <w:lvlText w:val=""/>
      <w:lvlJc w:val="left"/>
      <w:pPr>
        <w:tabs>
          <w:tab w:val="num" w:pos="1760"/>
        </w:tabs>
        <w:ind w:left="1987" w:hanging="284"/>
      </w:pPr>
      <w:rPr>
        <w:rFonts w:ascii="Wingdings" w:hAnsi="Wingdings" w:cs="Wingdings" w:hint="default"/>
        <w:color w:val="0072BC"/>
      </w:rPr>
    </w:lvl>
    <w:lvl w:ilvl="5">
      <w:start w:val="1"/>
      <w:numFmt w:val="bullet"/>
      <w:lvlText w:val=""/>
      <w:lvlJc w:val="left"/>
      <w:pPr>
        <w:tabs>
          <w:tab w:val="num" w:pos="2044"/>
        </w:tabs>
        <w:ind w:left="2271" w:hanging="284"/>
      </w:pPr>
      <w:rPr>
        <w:rFonts w:ascii="Wingdings" w:hAnsi="Wingdings" w:cs="Wingdings" w:hint="default"/>
        <w:color w:val="5F5F5F"/>
      </w:rPr>
    </w:lvl>
    <w:lvl w:ilvl="6">
      <w:start w:val="1"/>
      <w:numFmt w:val="bullet"/>
      <w:lvlText w:val=""/>
      <w:lvlJc w:val="left"/>
      <w:pPr>
        <w:tabs>
          <w:tab w:val="num" w:pos="2328"/>
        </w:tabs>
        <w:ind w:left="2555" w:hanging="284"/>
      </w:pPr>
      <w:rPr>
        <w:rFonts w:ascii="Symbol" w:hAnsi="Symbol" w:cs="Symbol" w:hint="default"/>
      </w:rPr>
    </w:lvl>
    <w:lvl w:ilvl="7">
      <w:start w:val="1"/>
      <w:numFmt w:val="bullet"/>
      <w:lvlText w:val="o"/>
      <w:lvlJc w:val="left"/>
      <w:pPr>
        <w:tabs>
          <w:tab w:val="num" w:pos="2612"/>
        </w:tabs>
        <w:ind w:left="2839" w:hanging="284"/>
      </w:pPr>
      <w:rPr>
        <w:rFonts w:ascii="Courier New" w:hAnsi="Courier New" w:cs="Courier New" w:hint="default"/>
      </w:rPr>
    </w:lvl>
    <w:lvl w:ilvl="8">
      <w:start w:val="1"/>
      <w:numFmt w:val="bullet"/>
      <w:lvlText w:val=""/>
      <w:lvlJc w:val="left"/>
      <w:pPr>
        <w:tabs>
          <w:tab w:val="num" w:pos="2896"/>
        </w:tabs>
        <w:ind w:left="3123" w:hanging="284"/>
      </w:pPr>
      <w:rPr>
        <w:rFonts w:ascii="Wingdings" w:hAnsi="Wingdings" w:cs="Wingdings" w:hint="default"/>
      </w:rPr>
    </w:lvl>
  </w:abstractNum>
  <w:abstractNum w:abstractNumId="22" w15:restartNumberingAfterBreak="0">
    <w:nsid w:val="4989571C"/>
    <w:multiLevelType w:val="multilevel"/>
    <w:tmpl w:val="F842BC8C"/>
    <w:styleLink w:val="ECHRA1StyleBulletedSquare"/>
    <w:lvl w:ilvl="0">
      <w:start w:val="1"/>
      <w:numFmt w:val="bullet"/>
      <w:pStyle w:val="ECHRBullet1"/>
      <w:lvlText w:val=""/>
      <w:lvlJc w:val="left"/>
      <w:pPr>
        <w:tabs>
          <w:tab w:val="num" w:pos="1135"/>
        </w:tabs>
        <w:ind w:left="1135" w:hanging="284"/>
      </w:pPr>
      <w:rPr>
        <w:rFonts w:ascii="Wingdings" w:hAnsi="Wingdings" w:cs="Wingdings" w:hint="default"/>
        <w:color w:val="0072BC"/>
      </w:rPr>
    </w:lvl>
    <w:lvl w:ilvl="1">
      <w:start w:val="1"/>
      <w:numFmt w:val="bullet"/>
      <w:pStyle w:val="ECHRBullet2"/>
      <w:lvlText w:val=""/>
      <w:lvlJc w:val="left"/>
      <w:pPr>
        <w:tabs>
          <w:tab w:val="num" w:pos="1287"/>
        </w:tabs>
        <w:ind w:left="1288" w:hanging="284"/>
      </w:pPr>
      <w:rPr>
        <w:rFonts w:ascii="Wingdings" w:hAnsi="Wingdings" w:cs="Wingdings" w:hint="default"/>
        <w:color w:val="0072BC"/>
      </w:rPr>
    </w:lvl>
    <w:lvl w:ilvl="2">
      <w:start w:val="1"/>
      <w:numFmt w:val="bullet"/>
      <w:pStyle w:val="ECHRBullet3"/>
      <w:lvlText w:val=""/>
      <w:lvlJc w:val="left"/>
      <w:pPr>
        <w:tabs>
          <w:tab w:val="num" w:pos="1571"/>
        </w:tabs>
        <w:ind w:left="1572" w:hanging="284"/>
      </w:pPr>
      <w:rPr>
        <w:rFonts w:ascii="Wingdings" w:hAnsi="Wingdings" w:cs="Wingdings" w:hint="default"/>
        <w:color w:val="7F7F7F"/>
      </w:rPr>
    </w:lvl>
    <w:lvl w:ilvl="3">
      <w:start w:val="1"/>
      <w:numFmt w:val="bullet"/>
      <w:pStyle w:val="ECHRBullet4"/>
      <w:lvlText w:val=""/>
      <w:lvlJc w:val="left"/>
      <w:pPr>
        <w:tabs>
          <w:tab w:val="num" w:pos="1854"/>
        </w:tabs>
        <w:ind w:left="1856" w:hanging="284"/>
      </w:pPr>
      <w:rPr>
        <w:rFonts w:ascii="Wingdings" w:hAnsi="Wingdings" w:cs="Wingdings" w:hint="default"/>
        <w:color w:val="7F7F7F"/>
      </w:rPr>
    </w:lvl>
    <w:lvl w:ilvl="4">
      <w:start w:val="1"/>
      <w:numFmt w:val="bullet"/>
      <w:lvlText w:val=""/>
      <w:lvlJc w:val="left"/>
      <w:pPr>
        <w:tabs>
          <w:tab w:val="num" w:pos="1913"/>
        </w:tabs>
        <w:ind w:left="2140" w:hanging="284"/>
      </w:pPr>
      <w:rPr>
        <w:rFonts w:ascii="Wingdings" w:hAnsi="Wingdings" w:cs="Wingdings" w:hint="default"/>
        <w:color w:val="0072BC"/>
      </w:rPr>
    </w:lvl>
    <w:lvl w:ilvl="5">
      <w:start w:val="1"/>
      <w:numFmt w:val="bullet"/>
      <w:lvlText w:val=""/>
      <w:lvlJc w:val="left"/>
      <w:pPr>
        <w:tabs>
          <w:tab w:val="num" w:pos="2197"/>
        </w:tabs>
        <w:ind w:left="2424" w:hanging="284"/>
      </w:pPr>
      <w:rPr>
        <w:rFonts w:ascii="Wingdings" w:hAnsi="Wingdings" w:cs="Wingdings" w:hint="default"/>
        <w:color w:val="5F5F5F"/>
      </w:rPr>
    </w:lvl>
    <w:lvl w:ilvl="6">
      <w:start w:val="1"/>
      <w:numFmt w:val="bullet"/>
      <w:lvlText w:val=""/>
      <w:lvlJc w:val="left"/>
      <w:pPr>
        <w:tabs>
          <w:tab w:val="num" w:pos="2481"/>
        </w:tabs>
        <w:ind w:left="2708" w:hanging="284"/>
      </w:pPr>
      <w:rPr>
        <w:rFonts w:ascii="Symbol" w:hAnsi="Symbol" w:cs="Symbol" w:hint="default"/>
      </w:rPr>
    </w:lvl>
    <w:lvl w:ilvl="7">
      <w:start w:val="1"/>
      <w:numFmt w:val="bullet"/>
      <w:lvlText w:val="o"/>
      <w:lvlJc w:val="left"/>
      <w:pPr>
        <w:tabs>
          <w:tab w:val="num" w:pos="2765"/>
        </w:tabs>
        <w:ind w:left="2992" w:hanging="284"/>
      </w:pPr>
      <w:rPr>
        <w:rFonts w:ascii="Courier New" w:hAnsi="Courier New" w:cs="Courier New" w:hint="default"/>
      </w:rPr>
    </w:lvl>
    <w:lvl w:ilvl="8">
      <w:start w:val="1"/>
      <w:numFmt w:val="bullet"/>
      <w:lvlText w:val=""/>
      <w:lvlJc w:val="left"/>
      <w:pPr>
        <w:tabs>
          <w:tab w:val="num" w:pos="3049"/>
        </w:tabs>
        <w:ind w:left="3276" w:hanging="284"/>
      </w:pPr>
      <w:rPr>
        <w:rFonts w:ascii="Wingdings" w:hAnsi="Wingdings" w:cs="Wingdings" w:hint="default"/>
      </w:rPr>
    </w:lvl>
  </w:abstractNum>
  <w:abstractNum w:abstractNumId="23" w15:restartNumberingAfterBreak="0">
    <w:nsid w:val="4C406ACA"/>
    <w:multiLevelType w:val="hybridMultilevel"/>
    <w:tmpl w:val="3FC03832"/>
    <w:lvl w:ilvl="0" w:tplc="7B46BEDA">
      <w:start w:val="1"/>
      <w:numFmt w:val="bullet"/>
      <w:lvlText w:val=""/>
      <w:lvlJc w:val="left"/>
      <w:pPr>
        <w:ind w:left="720" w:hanging="360"/>
      </w:pPr>
      <w:rPr>
        <w:rFonts w:ascii="Wingdings" w:hAnsi="Wingdings" w:cs="Wingdings" w:hint="default"/>
        <w:color w:val="0072B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25" w15:restartNumberingAfterBreak="0">
    <w:nsid w:val="510746C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AA0E8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FD1241"/>
    <w:multiLevelType w:val="hybridMultilevel"/>
    <w:tmpl w:val="F6D86CC2"/>
    <w:lvl w:ilvl="0" w:tplc="E4205412">
      <w:start w:val="1"/>
      <w:numFmt w:val="bullet"/>
      <w:lvlText w:val=""/>
      <w:lvlJc w:val="left"/>
      <w:pPr>
        <w:tabs>
          <w:tab w:val="num" w:pos="851"/>
        </w:tabs>
        <w:ind w:left="568"/>
      </w:pPr>
      <w:rPr>
        <w:rFonts w:ascii="Wingdings" w:hAnsi="Wingdings" w:cs="Wingdings" w:hint="default"/>
        <w:color w:val="808080"/>
        <w:sz w:val="16"/>
        <w:szCs w:val="16"/>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start w:val="1"/>
      <w:numFmt w:val="bullet"/>
      <w:lvlText w:val=""/>
      <w:lvlJc w:val="left"/>
      <w:pPr>
        <w:tabs>
          <w:tab w:val="num" w:pos="2444"/>
        </w:tabs>
        <w:ind w:left="2444" w:hanging="360"/>
      </w:pPr>
      <w:rPr>
        <w:rFonts w:ascii="Wingdings" w:hAnsi="Wingdings" w:cs="Wingdings" w:hint="default"/>
      </w:rPr>
    </w:lvl>
    <w:lvl w:ilvl="3" w:tplc="08090001">
      <w:start w:val="1"/>
      <w:numFmt w:val="bullet"/>
      <w:lvlText w:val=""/>
      <w:lvlJc w:val="left"/>
      <w:pPr>
        <w:tabs>
          <w:tab w:val="num" w:pos="3164"/>
        </w:tabs>
        <w:ind w:left="3164" w:hanging="360"/>
      </w:pPr>
      <w:rPr>
        <w:rFonts w:ascii="Symbol" w:hAnsi="Symbol" w:cs="Symbol" w:hint="default"/>
      </w:rPr>
    </w:lvl>
    <w:lvl w:ilvl="4" w:tplc="08090003">
      <w:start w:val="1"/>
      <w:numFmt w:val="bullet"/>
      <w:lvlText w:val="o"/>
      <w:lvlJc w:val="left"/>
      <w:pPr>
        <w:tabs>
          <w:tab w:val="num" w:pos="3884"/>
        </w:tabs>
        <w:ind w:left="3884" w:hanging="360"/>
      </w:pPr>
      <w:rPr>
        <w:rFonts w:ascii="Courier New" w:hAnsi="Courier New" w:cs="Courier New" w:hint="default"/>
      </w:rPr>
    </w:lvl>
    <w:lvl w:ilvl="5" w:tplc="08090005">
      <w:start w:val="1"/>
      <w:numFmt w:val="bullet"/>
      <w:lvlText w:val=""/>
      <w:lvlJc w:val="left"/>
      <w:pPr>
        <w:tabs>
          <w:tab w:val="num" w:pos="4604"/>
        </w:tabs>
        <w:ind w:left="4604" w:hanging="360"/>
      </w:pPr>
      <w:rPr>
        <w:rFonts w:ascii="Wingdings" w:hAnsi="Wingdings" w:cs="Wingdings" w:hint="default"/>
      </w:rPr>
    </w:lvl>
    <w:lvl w:ilvl="6" w:tplc="08090001">
      <w:start w:val="1"/>
      <w:numFmt w:val="bullet"/>
      <w:lvlText w:val=""/>
      <w:lvlJc w:val="left"/>
      <w:pPr>
        <w:tabs>
          <w:tab w:val="num" w:pos="5324"/>
        </w:tabs>
        <w:ind w:left="5324" w:hanging="360"/>
      </w:pPr>
      <w:rPr>
        <w:rFonts w:ascii="Symbol" w:hAnsi="Symbol" w:cs="Symbol" w:hint="default"/>
      </w:rPr>
    </w:lvl>
    <w:lvl w:ilvl="7" w:tplc="08090003">
      <w:start w:val="1"/>
      <w:numFmt w:val="bullet"/>
      <w:lvlText w:val="o"/>
      <w:lvlJc w:val="left"/>
      <w:pPr>
        <w:tabs>
          <w:tab w:val="num" w:pos="6044"/>
        </w:tabs>
        <w:ind w:left="6044" w:hanging="360"/>
      </w:pPr>
      <w:rPr>
        <w:rFonts w:ascii="Courier New" w:hAnsi="Courier New" w:cs="Courier New" w:hint="default"/>
      </w:rPr>
    </w:lvl>
    <w:lvl w:ilvl="8" w:tplc="08090005">
      <w:start w:val="1"/>
      <w:numFmt w:val="bullet"/>
      <w:lvlText w:val=""/>
      <w:lvlJc w:val="left"/>
      <w:pPr>
        <w:tabs>
          <w:tab w:val="num" w:pos="6764"/>
        </w:tabs>
        <w:ind w:left="6764" w:hanging="360"/>
      </w:pPr>
      <w:rPr>
        <w:rFonts w:ascii="Wingdings" w:hAnsi="Wingdings" w:cs="Wingdings" w:hint="default"/>
      </w:rPr>
    </w:lvl>
  </w:abstractNum>
  <w:abstractNum w:abstractNumId="28" w15:restartNumberingAfterBreak="0">
    <w:nsid w:val="68E67CD3"/>
    <w:multiLevelType w:val="hybridMultilevel"/>
    <w:tmpl w:val="1B9CAA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73F438C5"/>
    <w:multiLevelType w:val="multilevel"/>
    <w:tmpl w:val="EAB0152A"/>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8D97011"/>
    <w:multiLevelType w:val="hybridMultilevel"/>
    <w:tmpl w:val="2384D0F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25"/>
  </w:num>
  <w:num w:numId="2">
    <w:abstractNumId w:val="26"/>
  </w:num>
  <w:num w:numId="3">
    <w:abstractNumId w:val="17"/>
  </w:num>
  <w:num w:numId="4">
    <w:abstractNumId w:val="21"/>
  </w:num>
  <w:num w:numId="5">
    <w:abstractNumId w:val="11"/>
  </w:num>
  <w:num w:numId="6">
    <w:abstractNumId w:val="18"/>
  </w:num>
  <w:num w:numId="7">
    <w:abstractNumId w:val="20"/>
  </w:num>
  <w:num w:numId="8">
    <w:abstractNumId w:val="19"/>
  </w:num>
  <w:num w:numId="9">
    <w:abstractNumId w:val="16"/>
  </w:num>
  <w:num w:numId="10">
    <w:abstractNumId w:val="29"/>
  </w:num>
  <w:num w:numId="11">
    <w:abstractNumId w:val="9"/>
  </w:num>
  <w:num w:numId="12">
    <w:abstractNumId w:val="27"/>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2"/>
  </w:num>
  <w:num w:numId="23">
    <w:abstractNumId w:val="24"/>
  </w:num>
  <w:num w:numId="24">
    <w:abstractNumId w:val="22"/>
  </w:num>
  <w:num w:numId="25">
    <w:abstractNumId w:val="22"/>
  </w:num>
  <w:num w:numId="26">
    <w:abstractNumId w:val="22"/>
  </w:num>
  <w:num w:numId="27">
    <w:abstractNumId w:val="22"/>
  </w:num>
  <w:num w:numId="28">
    <w:abstractNumId w:val="16"/>
  </w:num>
  <w:num w:numId="29">
    <w:abstractNumId w:val="24"/>
  </w:num>
  <w:num w:numId="30">
    <w:abstractNumId w:val="24"/>
  </w:num>
  <w:num w:numId="31">
    <w:abstractNumId w:val="24"/>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5"/>
  </w:num>
  <w:num w:numId="35">
    <w:abstractNumId w:val="22"/>
    <w:lvlOverride w:ilvl="0">
      <w:lvl w:ilvl="0">
        <w:start w:val="1"/>
        <w:numFmt w:val="bullet"/>
        <w:pStyle w:val="ECHRBullet1"/>
        <w:lvlText w:val=""/>
        <w:lvlJc w:val="left"/>
        <w:pPr>
          <w:tabs>
            <w:tab w:val="num" w:pos="284"/>
          </w:tabs>
          <w:ind w:left="284" w:hanging="284"/>
        </w:pPr>
        <w:rPr>
          <w:rFonts w:ascii="Wingdings" w:hAnsi="Wingdings" w:cs="Wingdings" w:hint="default"/>
          <w:color w:val="0072BC"/>
        </w:rPr>
      </w:lvl>
    </w:lvlOverride>
  </w:num>
  <w:num w:numId="36">
    <w:abstractNumId w:val="13"/>
  </w:num>
  <w:num w:numId="37">
    <w:abstractNumId w:val="10"/>
  </w:num>
  <w:num w:numId="38">
    <w:abstractNumId w:val="23"/>
  </w:num>
  <w:num w:numId="39">
    <w:abstractNumId w:val="28"/>
  </w:num>
  <w:num w:numId="40">
    <w:abstractNumId w:val="12"/>
  </w:num>
  <w:num w:numId="41">
    <w:abstractNumId w:val="22"/>
  </w:num>
  <w:num w:numId="42">
    <w:abstractNumId w:val="22"/>
  </w:num>
  <w:num w:numId="43">
    <w:abstractNumId w:val="22"/>
  </w:num>
  <w:num w:numId="44">
    <w:abstractNumId w:val="22"/>
  </w:num>
  <w:num w:numId="45">
    <w:abstractNumId w:val="2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06B0B"/>
    <w:rsid w:val="00001DA4"/>
    <w:rsid w:val="000041F8"/>
    <w:rsid w:val="000042A8"/>
    <w:rsid w:val="00004308"/>
    <w:rsid w:val="00005BF0"/>
    <w:rsid w:val="00006675"/>
    <w:rsid w:val="00006F49"/>
    <w:rsid w:val="00007154"/>
    <w:rsid w:val="000074AA"/>
    <w:rsid w:val="00007915"/>
    <w:rsid w:val="00007DAD"/>
    <w:rsid w:val="000103AE"/>
    <w:rsid w:val="00011D69"/>
    <w:rsid w:val="00011ED8"/>
    <w:rsid w:val="000126AC"/>
    <w:rsid w:val="00012933"/>
    <w:rsid w:val="00012AD3"/>
    <w:rsid w:val="00012E4E"/>
    <w:rsid w:val="000132F9"/>
    <w:rsid w:val="00013658"/>
    <w:rsid w:val="00013BAB"/>
    <w:rsid w:val="00014294"/>
    <w:rsid w:val="000151C7"/>
    <w:rsid w:val="00015C2D"/>
    <w:rsid w:val="00015F00"/>
    <w:rsid w:val="0001698A"/>
    <w:rsid w:val="000209A0"/>
    <w:rsid w:val="000212C5"/>
    <w:rsid w:val="00022634"/>
    <w:rsid w:val="00022C1D"/>
    <w:rsid w:val="00022F7C"/>
    <w:rsid w:val="000237FE"/>
    <w:rsid w:val="0002382E"/>
    <w:rsid w:val="000305F4"/>
    <w:rsid w:val="00030736"/>
    <w:rsid w:val="0003099F"/>
    <w:rsid w:val="00030EF1"/>
    <w:rsid w:val="00031B78"/>
    <w:rsid w:val="00032B22"/>
    <w:rsid w:val="000337CC"/>
    <w:rsid w:val="00034839"/>
    <w:rsid w:val="00034987"/>
    <w:rsid w:val="00035664"/>
    <w:rsid w:val="00035F78"/>
    <w:rsid w:val="0003732C"/>
    <w:rsid w:val="00037974"/>
    <w:rsid w:val="00037AFA"/>
    <w:rsid w:val="000404EF"/>
    <w:rsid w:val="00040692"/>
    <w:rsid w:val="0004073E"/>
    <w:rsid w:val="00040A3B"/>
    <w:rsid w:val="00040C98"/>
    <w:rsid w:val="000412F3"/>
    <w:rsid w:val="00041E10"/>
    <w:rsid w:val="000420DF"/>
    <w:rsid w:val="0004247A"/>
    <w:rsid w:val="00046DA6"/>
    <w:rsid w:val="000502EC"/>
    <w:rsid w:val="00054400"/>
    <w:rsid w:val="000552B9"/>
    <w:rsid w:val="000554AC"/>
    <w:rsid w:val="00055C95"/>
    <w:rsid w:val="00055ECF"/>
    <w:rsid w:val="00056B2A"/>
    <w:rsid w:val="00056D6B"/>
    <w:rsid w:val="00056FDC"/>
    <w:rsid w:val="000602DF"/>
    <w:rsid w:val="00061B05"/>
    <w:rsid w:val="000632D5"/>
    <w:rsid w:val="000638A3"/>
    <w:rsid w:val="00063B7B"/>
    <w:rsid w:val="000644EE"/>
    <w:rsid w:val="00064EBE"/>
    <w:rsid w:val="00064EC2"/>
    <w:rsid w:val="00065C36"/>
    <w:rsid w:val="000673DC"/>
    <w:rsid w:val="0006764A"/>
    <w:rsid w:val="000678C6"/>
    <w:rsid w:val="00070658"/>
    <w:rsid w:val="00070BF6"/>
    <w:rsid w:val="00071454"/>
    <w:rsid w:val="00072FBB"/>
    <w:rsid w:val="0007366F"/>
    <w:rsid w:val="00073B35"/>
    <w:rsid w:val="00073DE3"/>
    <w:rsid w:val="0007439A"/>
    <w:rsid w:val="000753D6"/>
    <w:rsid w:val="000771B5"/>
    <w:rsid w:val="00077266"/>
    <w:rsid w:val="0007734C"/>
    <w:rsid w:val="00080172"/>
    <w:rsid w:val="00080827"/>
    <w:rsid w:val="00080C0B"/>
    <w:rsid w:val="00080CC2"/>
    <w:rsid w:val="00081727"/>
    <w:rsid w:val="00081F43"/>
    <w:rsid w:val="00082FDB"/>
    <w:rsid w:val="00083603"/>
    <w:rsid w:val="00083F08"/>
    <w:rsid w:val="00084B83"/>
    <w:rsid w:val="00084CDF"/>
    <w:rsid w:val="000857DF"/>
    <w:rsid w:val="00085CF3"/>
    <w:rsid w:val="00086A48"/>
    <w:rsid w:val="00086F2A"/>
    <w:rsid w:val="000871D8"/>
    <w:rsid w:val="00087325"/>
    <w:rsid w:val="00090649"/>
    <w:rsid w:val="000925AD"/>
    <w:rsid w:val="00092834"/>
    <w:rsid w:val="000934CE"/>
    <w:rsid w:val="00093552"/>
    <w:rsid w:val="0009357B"/>
    <w:rsid w:val="00094AD2"/>
    <w:rsid w:val="00095746"/>
    <w:rsid w:val="00095753"/>
    <w:rsid w:val="00095853"/>
    <w:rsid w:val="00095BB0"/>
    <w:rsid w:val="00095BD8"/>
    <w:rsid w:val="000A19D1"/>
    <w:rsid w:val="000A24EB"/>
    <w:rsid w:val="000A3F9C"/>
    <w:rsid w:val="000A5EB1"/>
    <w:rsid w:val="000A782A"/>
    <w:rsid w:val="000A78F2"/>
    <w:rsid w:val="000A7966"/>
    <w:rsid w:val="000B193D"/>
    <w:rsid w:val="000B23D3"/>
    <w:rsid w:val="000B31A2"/>
    <w:rsid w:val="000B3376"/>
    <w:rsid w:val="000B506A"/>
    <w:rsid w:val="000B6923"/>
    <w:rsid w:val="000B7533"/>
    <w:rsid w:val="000C044C"/>
    <w:rsid w:val="000C0608"/>
    <w:rsid w:val="000C0A0B"/>
    <w:rsid w:val="000C0E8B"/>
    <w:rsid w:val="000C0ED6"/>
    <w:rsid w:val="000C0F5D"/>
    <w:rsid w:val="000C24F3"/>
    <w:rsid w:val="000C2FCD"/>
    <w:rsid w:val="000C3331"/>
    <w:rsid w:val="000C3D0C"/>
    <w:rsid w:val="000C45B0"/>
    <w:rsid w:val="000C5565"/>
    <w:rsid w:val="000C55DF"/>
    <w:rsid w:val="000C5BFA"/>
    <w:rsid w:val="000C5F3C"/>
    <w:rsid w:val="000C6DCC"/>
    <w:rsid w:val="000C701F"/>
    <w:rsid w:val="000C7A13"/>
    <w:rsid w:val="000D1CE8"/>
    <w:rsid w:val="000D1DA2"/>
    <w:rsid w:val="000D1FFB"/>
    <w:rsid w:val="000D3B61"/>
    <w:rsid w:val="000D4277"/>
    <w:rsid w:val="000D4357"/>
    <w:rsid w:val="000D47AA"/>
    <w:rsid w:val="000D523D"/>
    <w:rsid w:val="000D721F"/>
    <w:rsid w:val="000D7952"/>
    <w:rsid w:val="000E0678"/>
    <w:rsid w:val="000E069B"/>
    <w:rsid w:val="000E07CF"/>
    <w:rsid w:val="000E0A51"/>
    <w:rsid w:val="000E0E82"/>
    <w:rsid w:val="000E1DC5"/>
    <w:rsid w:val="000E223F"/>
    <w:rsid w:val="000E4153"/>
    <w:rsid w:val="000E57E3"/>
    <w:rsid w:val="000E608A"/>
    <w:rsid w:val="000E6AAE"/>
    <w:rsid w:val="000E73B0"/>
    <w:rsid w:val="000E7484"/>
    <w:rsid w:val="000E7D45"/>
    <w:rsid w:val="000E7F63"/>
    <w:rsid w:val="000F1A35"/>
    <w:rsid w:val="000F26B3"/>
    <w:rsid w:val="000F3010"/>
    <w:rsid w:val="000F3724"/>
    <w:rsid w:val="000F5976"/>
    <w:rsid w:val="000F5C94"/>
    <w:rsid w:val="000F5D13"/>
    <w:rsid w:val="000F7851"/>
    <w:rsid w:val="000F7DE3"/>
    <w:rsid w:val="00101C42"/>
    <w:rsid w:val="00101E40"/>
    <w:rsid w:val="001023C1"/>
    <w:rsid w:val="00102CC6"/>
    <w:rsid w:val="00103DE3"/>
    <w:rsid w:val="00104E23"/>
    <w:rsid w:val="00107457"/>
    <w:rsid w:val="00110C96"/>
    <w:rsid w:val="0011187E"/>
    <w:rsid w:val="00111B0C"/>
    <w:rsid w:val="0011669C"/>
    <w:rsid w:val="001167E5"/>
    <w:rsid w:val="001169DC"/>
    <w:rsid w:val="00116F61"/>
    <w:rsid w:val="001170DB"/>
    <w:rsid w:val="00120A73"/>
    <w:rsid w:val="00120D6C"/>
    <w:rsid w:val="00122E93"/>
    <w:rsid w:val="001235FE"/>
    <w:rsid w:val="00123B8E"/>
    <w:rsid w:val="001251A5"/>
    <w:rsid w:val="001257EC"/>
    <w:rsid w:val="00125EA9"/>
    <w:rsid w:val="001273DB"/>
    <w:rsid w:val="001278A5"/>
    <w:rsid w:val="00130449"/>
    <w:rsid w:val="0013139E"/>
    <w:rsid w:val="00131CA3"/>
    <w:rsid w:val="00132FF4"/>
    <w:rsid w:val="00133D1B"/>
    <w:rsid w:val="00133D33"/>
    <w:rsid w:val="00134581"/>
    <w:rsid w:val="00134D64"/>
    <w:rsid w:val="00134E18"/>
    <w:rsid w:val="0013573D"/>
    <w:rsid w:val="00135934"/>
    <w:rsid w:val="00135A30"/>
    <w:rsid w:val="0013612C"/>
    <w:rsid w:val="00136134"/>
    <w:rsid w:val="001376D2"/>
    <w:rsid w:val="00137FF6"/>
    <w:rsid w:val="0014085A"/>
    <w:rsid w:val="00141650"/>
    <w:rsid w:val="0014188B"/>
    <w:rsid w:val="00141A4A"/>
    <w:rsid w:val="00141A58"/>
    <w:rsid w:val="00141BAD"/>
    <w:rsid w:val="00141CDA"/>
    <w:rsid w:val="001433D3"/>
    <w:rsid w:val="00143C15"/>
    <w:rsid w:val="00143F07"/>
    <w:rsid w:val="00144626"/>
    <w:rsid w:val="00145447"/>
    <w:rsid w:val="001456F6"/>
    <w:rsid w:val="001457AB"/>
    <w:rsid w:val="00145CA5"/>
    <w:rsid w:val="001469EA"/>
    <w:rsid w:val="00146BE8"/>
    <w:rsid w:val="00146C78"/>
    <w:rsid w:val="00147D81"/>
    <w:rsid w:val="00150799"/>
    <w:rsid w:val="00150D38"/>
    <w:rsid w:val="00151E49"/>
    <w:rsid w:val="001543C4"/>
    <w:rsid w:val="001546AE"/>
    <w:rsid w:val="00156592"/>
    <w:rsid w:val="00157740"/>
    <w:rsid w:val="00160151"/>
    <w:rsid w:val="00160CFA"/>
    <w:rsid w:val="00161284"/>
    <w:rsid w:val="00162A12"/>
    <w:rsid w:val="00162A74"/>
    <w:rsid w:val="00162BAC"/>
    <w:rsid w:val="00162EF7"/>
    <w:rsid w:val="001649BD"/>
    <w:rsid w:val="00164DFC"/>
    <w:rsid w:val="00166530"/>
    <w:rsid w:val="001669A9"/>
    <w:rsid w:val="0017038A"/>
    <w:rsid w:val="00170B54"/>
    <w:rsid w:val="00170CDA"/>
    <w:rsid w:val="00171789"/>
    <w:rsid w:val="001717DB"/>
    <w:rsid w:val="001723AB"/>
    <w:rsid w:val="001733FA"/>
    <w:rsid w:val="00174D9F"/>
    <w:rsid w:val="001750FF"/>
    <w:rsid w:val="00175848"/>
    <w:rsid w:val="00175AF1"/>
    <w:rsid w:val="00176FE6"/>
    <w:rsid w:val="001773F2"/>
    <w:rsid w:val="0018068E"/>
    <w:rsid w:val="001817CD"/>
    <w:rsid w:val="001825D5"/>
    <w:rsid w:val="0018301A"/>
    <w:rsid w:val="001832BD"/>
    <w:rsid w:val="001833BF"/>
    <w:rsid w:val="0018395C"/>
    <w:rsid w:val="00185015"/>
    <w:rsid w:val="00185331"/>
    <w:rsid w:val="00185696"/>
    <w:rsid w:val="00185DC8"/>
    <w:rsid w:val="00186692"/>
    <w:rsid w:val="001872F2"/>
    <w:rsid w:val="00190357"/>
    <w:rsid w:val="00190964"/>
    <w:rsid w:val="0019151C"/>
    <w:rsid w:val="00192096"/>
    <w:rsid w:val="001943B5"/>
    <w:rsid w:val="0019440D"/>
    <w:rsid w:val="00195134"/>
    <w:rsid w:val="00195493"/>
    <w:rsid w:val="00195673"/>
    <w:rsid w:val="00195F36"/>
    <w:rsid w:val="001969E2"/>
    <w:rsid w:val="00197AE9"/>
    <w:rsid w:val="001A0EBB"/>
    <w:rsid w:val="001A0EFD"/>
    <w:rsid w:val="001A145B"/>
    <w:rsid w:val="001A1983"/>
    <w:rsid w:val="001A1AFC"/>
    <w:rsid w:val="001A1ED5"/>
    <w:rsid w:val="001A2CAE"/>
    <w:rsid w:val="001A4512"/>
    <w:rsid w:val="001A5067"/>
    <w:rsid w:val="001A5D50"/>
    <w:rsid w:val="001A65D5"/>
    <w:rsid w:val="001A6665"/>
    <w:rsid w:val="001A674C"/>
    <w:rsid w:val="001A6AA5"/>
    <w:rsid w:val="001A70E9"/>
    <w:rsid w:val="001B0AB6"/>
    <w:rsid w:val="001B0CFB"/>
    <w:rsid w:val="001B0D1C"/>
    <w:rsid w:val="001B1CB9"/>
    <w:rsid w:val="001B2B5B"/>
    <w:rsid w:val="001B3B24"/>
    <w:rsid w:val="001B4D75"/>
    <w:rsid w:val="001B5063"/>
    <w:rsid w:val="001B63E7"/>
    <w:rsid w:val="001B6AD1"/>
    <w:rsid w:val="001B7909"/>
    <w:rsid w:val="001C0106"/>
    <w:rsid w:val="001C0C26"/>
    <w:rsid w:val="001C0F98"/>
    <w:rsid w:val="001C29FF"/>
    <w:rsid w:val="001C2A42"/>
    <w:rsid w:val="001C3DE3"/>
    <w:rsid w:val="001C477F"/>
    <w:rsid w:val="001C4CF1"/>
    <w:rsid w:val="001C5007"/>
    <w:rsid w:val="001C586C"/>
    <w:rsid w:val="001C5B98"/>
    <w:rsid w:val="001C5DE8"/>
    <w:rsid w:val="001C6F21"/>
    <w:rsid w:val="001C773B"/>
    <w:rsid w:val="001C7C01"/>
    <w:rsid w:val="001D0107"/>
    <w:rsid w:val="001D0DBC"/>
    <w:rsid w:val="001D1415"/>
    <w:rsid w:val="001D312A"/>
    <w:rsid w:val="001D63ED"/>
    <w:rsid w:val="001D7348"/>
    <w:rsid w:val="001D74E2"/>
    <w:rsid w:val="001E035B"/>
    <w:rsid w:val="001E0798"/>
    <w:rsid w:val="001E07DB"/>
    <w:rsid w:val="001E0961"/>
    <w:rsid w:val="001E0AAF"/>
    <w:rsid w:val="001E1D56"/>
    <w:rsid w:val="001E23F7"/>
    <w:rsid w:val="001E288B"/>
    <w:rsid w:val="001E2E55"/>
    <w:rsid w:val="001E38BD"/>
    <w:rsid w:val="001E3EAE"/>
    <w:rsid w:val="001E416C"/>
    <w:rsid w:val="001E6F32"/>
    <w:rsid w:val="001E73F8"/>
    <w:rsid w:val="001E7D00"/>
    <w:rsid w:val="001F026E"/>
    <w:rsid w:val="001F0C6B"/>
    <w:rsid w:val="001F1444"/>
    <w:rsid w:val="001F2145"/>
    <w:rsid w:val="001F2813"/>
    <w:rsid w:val="001F2BCA"/>
    <w:rsid w:val="001F357C"/>
    <w:rsid w:val="001F3C90"/>
    <w:rsid w:val="001F4E38"/>
    <w:rsid w:val="001F61A2"/>
    <w:rsid w:val="001F6262"/>
    <w:rsid w:val="001F64E3"/>
    <w:rsid w:val="001F6793"/>
    <w:rsid w:val="001F67B0"/>
    <w:rsid w:val="001F6B44"/>
    <w:rsid w:val="001F6ED8"/>
    <w:rsid w:val="001F7B3D"/>
    <w:rsid w:val="00201B16"/>
    <w:rsid w:val="00201CFD"/>
    <w:rsid w:val="00205053"/>
    <w:rsid w:val="00205B4D"/>
    <w:rsid w:val="00205F9F"/>
    <w:rsid w:val="00210338"/>
    <w:rsid w:val="00210AAF"/>
    <w:rsid w:val="00210ABA"/>
    <w:rsid w:val="00210D69"/>
    <w:rsid w:val="002115FC"/>
    <w:rsid w:val="00211E96"/>
    <w:rsid w:val="002138A0"/>
    <w:rsid w:val="00213A56"/>
    <w:rsid w:val="0021423C"/>
    <w:rsid w:val="00214673"/>
    <w:rsid w:val="002146BB"/>
    <w:rsid w:val="00215B68"/>
    <w:rsid w:val="00217D62"/>
    <w:rsid w:val="00221026"/>
    <w:rsid w:val="0022226B"/>
    <w:rsid w:val="00223D71"/>
    <w:rsid w:val="00223EFA"/>
    <w:rsid w:val="002241BC"/>
    <w:rsid w:val="00224770"/>
    <w:rsid w:val="00225023"/>
    <w:rsid w:val="002256F6"/>
    <w:rsid w:val="002265DE"/>
    <w:rsid w:val="00227164"/>
    <w:rsid w:val="00227417"/>
    <w:rsid w:val="00230D00"/>
    <w:rsid w:val="00230D34"/>
    <w:rsid w:val="00231D67"/>
    <w:rsid w:val="00231DF7"/>
    <w:rsid w:val="00231FD1"/>
    <w:rsid w:val="00232AC3"/>
    <w:rsid w:val="00232C23"/>
    <w:rsid w:val="00232D7B"/>
    <w:rsid w:val="00232E49"/>
    <w:rsid w:val="0023309B"/>
    <w:rsid w:val="002337C9"/>
    <w:rsid w:val="002339E0"/>
    <w:rsid w:val="00233AB0"/>
    <w:rsid w:val="00233CF8"/>
    <w:rsid w:val="0023516A"/>
    <w:rsid w:val="002351E1"/>
    <w:rsid w:val="0023575D"/>
    <w:rsid w:val="00235A12"/>
    <w:rsid w:val="00236808"/>
    <w:rsid w:val="00237148"/>
    <w:rsid w:val="00237423"/>
    <w:rsid w:val="002406F0"/>
    <w:rsid w:val="002410C1"/>
    <w:rsid w:val="002415E7"/>
    <w:rsid w:val="0024222D"/>
    <w:rsid w:val="002428B9"/>
    <w:rsid w:val="00242CBC"/>
    <w:rsid w:val="00242E41"/>
    <w:rsid w:val="00243E59"/>
    <w:rsid w:val="002449E5"/>
    <w:rsid w:val="00244B0E"/>
    <w:rsid w:val="00244F6C"/>
    <w:rsid w:val="002452B9"/>
    <w:rsid w:val="002453ED"/>
    <w:rsid w:val="00246BC8"/>
    <w:rsid w:val="00250623"/>
    <w:rsid w:val="00251447"/>
    <w:rsid w:val="00251AEA"/>
    <w:rsid w:val="002532C5"/>
    <w:rsid w:val="00254E6D"/>
    <w:rsid w:val="00255015"/>
    <w:rsid w:val="0025541E"/>
    <w:rsid w:val="00255558"/>
    <w:rsid w:val="00255C06"/>
    <w:rsid w:val="00255C78"/>
    <w:rsid w:val="0025622D"/>
    <w:rsid w:val="002569A6"/>
    <w:rsid w:val="0025714F"/>
    <w:rsid w:val="002605FA"/>
    <w:rsid w:val="00260C03"/>
    <w:rsid w:val="00261305"/>
    <w:rsid w:val="00263023"/>
    <w:rsid w:val="002643BF"/>
    <w:rsid w:val="002644E5"/>
    <w:rsid w:val="002653B4"/>
    <w:rsid w:val="0026540E"/>
    <w:rsid w:val="0026599B"/>
    <w:rsid w:val="00265E94"/>
    <w:rsid w:val="002670B2"/>
    <w:rsid w:val="00267498"/>
    <w:rsid w:val="002675A5"/>
    <w:rsid w:val="00270161"/>
    <w:rsid w:val="002701E7"/>
    <w:rsid w:val="00270242"/>
    <w:rsid w:val="0027062B"/>
    <w:rsid w:val="00271620"/>
    <w:rsid w:val="0027247A"/>
    <w:rsid w:val="00272DC5"/>
    <w:rsid w:val="00272E95"/>
    <w:rsid w:val="00272ECF"/>
    <w:rsid w:val="00274DDE"/>
    <w:rsid w:val="00274E19"/>
    <w:rsid w:val="00275123"/>
    <w:rsid w:val="0027580B"/>
    <w:rsid w:val="00275A30"/>
    <w:rsid w:val="002800ED"/>
    <w:rsid w:val="00280F18"/>
    <w:rsid w:val="002817A0"/>
    <w:rsid w:val="00281CC4"/>
    <w:rsid w:val="00281CE4"/>
    <w:rsid w:val="00281F96"/>
    <w:rsid w:val="00282011"/>
    <w:rsid w:val="00282205"/>
    <w:rsid w:val="00282240"/>
    <w:rsid w:val="002826B7"/>
    <w:rsid w:val="00282C43"/>
    <w:rsid w:val="0028350B"/>
    <w:rsid w:val="00283D6A"/>
    <w:rsid w:val="002852BB"/>
    <w:rsid w:val="00285471"/>
    <w:rsid w:val="00285C2D"/>
    <w:rsid w:val="00286278"/>
    <w:rsid w:val="00287BE7"/>
    <w:rsid w:val="00291AA4"/>
    <w:rsid w:val="00291D3A"/>
    <w:rsid w:val="00291EA0"/>
    <w:rsid w:val="00293DB3"/>
    <w:rsid w:val="002948AD"/>
    <w:rsid w:val="002952F3"/>
    <w:rsid w:val="00295322"/>
    <w:rsid w:val="0029657C"/>
    <w:rsid w:val="00296A96"/>
    <w:rsid w:val="0029771F"/>
    <w:rsid w:val="002A006F"/>
    <w:rsid w:val="002A0169"/>
    <w:rsid w:val="002A01CC"/>
    <w:rsid w:val="002A022C"/>
    <w:rsid w:val="002A0FB7"/>
    <w:rsid w:val="002A1686"/>
    <w:rsid w:val="002A2481"/>
    <w:rsid w:val="002A595B"/>
    <w:rsid w:val="002A5EFF"/>
    <w:rsid w:val="002A61B1"/>
    <w:rsid w:val="002A663C"/>
    <w:rsid w:val="002A7205"/>
    <w:rsid w:val="002A7943"/>
    <w:rsid w:val="002A7B46"/>
    <w:rsid w:val="002A7F52"/>
    <w:rsid w:val="002B00DD"/>
    <w:rsid w:val="002B031F"/>
    <w:rsid w:val="002B0D78"/>
    <w:rsid w:val="002B174C"/>
    <w:rsid w:val="002B22B9"/>
    <w:rsid w:val="002B3D85"/>
    <w:rsid w:val="002B3DF0"/>
    <w:rsid w:val="002B442D"/>
    <w:rsid w:val="002B444B"/>
    <w:rsid w:val="002B499A"/>
    <w:rsid w:val="002B4D96"/>
    <w:rsid w:val="002B5256"/>
    <w:rsid w:val="002B5640"/>
    <w:rsid w:val="002B5887"/>
    <w:rsid w:val="002B6BC8"/>
    <w:rsid w:val="002B7F7A"/>
    <w:rsid w:val="002C0692"/>
    <w:rsid w:val="002C0E27"/>
    <w:rsid w:val="002C2DCB"/>
    <w:rsid w:val="002C2F4C"/>
    <w:rsid w:val="002C3040"/>
    <w:rsid w:val="002C4E82"/>
    <w:rsid w:val="002C548C"/>
    <w:rsid w:val="002C623A"/>
    <w:rsid w:val="002C7441"/>
    <w:rsid w:val="002D022D"/>
    <w:rsid w:val="002D0E9E"/>
    <w:rsid w:val="002D24BB"/>
    <w:rsid w:val="002D2791"/>
    <w:rsid w:val="002D2ACB"/>
    <w:rsid w:val="002D3DA3"/>
    <w:rsid w:val="002D4C9C"/>
    <w:rsid w:val="002D60FB"/>
    <w:rsid w:val="002D67C7"/>
    <w:rsid w:val="002D707F"/>
    <w:rsid w:val="002D7DE9"/>
    <w:rsid w:val="002E0192"/>
    <w:rsid w:val="002E2155"/>
    <w:rsid w:val="002E24C3"/>
    <w:rsid w:val="002E24F1"/>
    <w:rsid w:val="002E25F8"/>
    <w:rsid w:val="002E2E59"/>
    <w:rsid w:val="002E4395"/>
    <w:rsid w:val="002E4502"/>
    <w:rsid w:val="002E5468"/>
    <w:rsid w:val="002E7109"/>
    <w:rsid w:val="002F0EE1"/>
    <w:rsid w:val="002F2120"/>
    <w:rsid w:val="002F27CC"/>
    <w:rsid w:val="002F2815"/>
    <w:rsid w:val="002F2AF7"/>
    <w:rsid w:val="002F30AF"/>
    <w:rsid w:val="002F326F"/>
    <w:rsid w:val="002F3B6E"/>
    <w:rsid w:val="002F3E5B"/>
    <w:rsid w:val="002F43E7"/>
    <w:rsid w:val="002F50D4"/>
    <w:rsid w:val="002F6AC9"/>
    <w:rsid w:val="002F7E1C"/>
    <w:rsid w:val="0030108A"/>
    <w:rsid w:val="00301A75"/>
    <w:rsid w:val="00302166"/>
    <w:rsid w:val="00302F70"/>
    <w:rsid w:val="0030336F"/>
    <w:rsid w:val="003035B2"/>
    <w:rsid w:val="0030375E"/>
    <w:rsid w:val="00303AA8"/>
    <w:rsid w:val="00303D97"/>
    <w:rsid w:val="003048F3"/>
    <w:rsid w:val="00304E01"/>
    <w:rsid w:val="00304F00"/>
    <w:rsid w:val="00307171"/>
    <w:rsid w:val="00307BA0"/>
    <w:rsid w:val="00310016"/>
    <w:rsid w:val="00310513"/>
    <w:rsid w:val="0031083E"/>
    <w:rsid w:val="00310A0C"/>
    <w:rsid w:val="00310B87"/>
    <w:rsid w:val="00310FE9"/>
    <w:rsid w:val="0031175B"/>
    <w:rsid w:val="00311ACD"/>
    <w:rsid w:val="00311E77"/>
    <w:rsid w:val="00312A30"/>
    <w:rsid w:val="00312F85"/>
    <w:rsid w:val="00313704"/>
    <w:rsid w:val="00314465"/>
    <w:rsid w:val="0031451D"/>
    <w:rsid w:val="003165E8"/>
    <w:rsid w:val="003172E6"/>
    <w:rsid w:val="00317700"/>
    <w:rsid w:val="003203AD"/>
    <w:rsid w:val="00320990"/>
    <w:rsid w:val="00320F72"/>
    <w:rsid w:val="00321715"/>
    <w:rsid w:val="00322A7E"/>
    <w:rsid w:val="00323475"/>
    <w:rsid w:val="00323BA3"/>
    <w:rsid w:val="0032463E"/>
    <w:rsid w:val="00325D37"/>
    <w:rsid w:val="00326224"/>
    <w:rsid w:val="00326C0F"/>
    <w:rsid w:val="0033081C"/>
    <w:rsid w:val="00330A7F"/>
    <w:rsid w:val="00330F1E"/>
    <w:rsid w:val="00331B6C"/>
    <w:rsid w:val="00331F1B"/>
    <w:rsid w:val="0033285E"/>
    <w:rsid w:val="0033358C"/>
    <w:rsid w:val="00334D21"/>
    <w:rsid w:val="003363F9"/>
    <w:rsid w:val="0033684C"/>
    <w:rsid w:val="00336CDF"/>
    <w:rsid w:val="00337C3B"/>
    <w:rsid w:val="00337E7E"/>
    <w:rsid w:val="00337EE4"/>
    <w:rsid w:val="003400E6"/>
    <w:rsid w:val="00340498"/>
    <w:rsid w:val="00340F3F"/>
    <w:rsid w:val="00340FFD"/>
    <w:rsid w:val="003412B5"/>
    <w:rsid w:val="00342BA0"/>
    <w:rsid w:val="00344460"/>
    <w:rsid w:val="003447DF"/>
    <w:rsid w:val="00344B34"/>
    <w:rsid w:val="00344EEA"/>
    <w:rsid w:val="00345EE1"/>
    <w:rsid w:val="00346152"/>
    <w:rsid w:val="003506B1"/>
    <w:rsid w:val="00351089"/>
    <w:rsid w:val="00351139"/>
    <w:rsid w:val="003512BF"/>
    <w:rsid w:val="00351424"/>
    <w:rsid w:val="00352824"/>
    <w:rsid w:val="00353166"/>
    <w:rsid w:val="003532C0"/>
    <w:rsid w:val="003535D3"/>
    <w:rsid w:val="003547BD"/>
    <w:rsid w:val="003548DD"/>
    <w:rsid w:val="00354A19"/>
    <w:rsid w:val="00354E26"/>
    <w:rsid w:val="00354FD1"/>
    <w:rsid w:val="00355278"/>
    <w:rsid w:val="0035582F"/>
    <w:rsid w:val="00355976"/>
    <w:rsid w:val="0035666D"/>
    <w:rsid w:val="00356AA5"/>
    <w:rsid w:val="00356AC7"/>
    <w:rsid w:val="00356CA9"/>
    <w:rsid w:val="003570E2"/>
    <w:rsid w:val="003609FA"/>
    <w:rsid w:val="003615A5"/>
    <w:rsid w:val="00363565"/>
    <w:rsid w:val="00367944"/>
    <w:rsid w:val="00370848"/>
    <w:rsid w:val="00370873"/>
    <w:rsid w:val="003710C8"/>
    <w:rsid w:val="003714A8"/>
    <w:rsid w:val="00371F92"/>
    <w:rsid w:val="00373CCA"/>
    <w:rsid w:val="00374422"/>
    <w:rsid w:val="00374C32"/>
    <w:rsid w:val="003750BE"/>
    <w:rsid w:val="003754C0"/>
    <w:rsid w:val="003763F0"/>
    <w:rsid w:val="003764D4"/>
    <w:rsid w:val="00380639"/>
    <w:rsid w:val="003808C6"/>
    <w:rsid w:val="00380C5E"/>
    <w:rsid w:val="0038289D"/>
    <w:rsid w:val="00383623"/>
    <w:rsid w:val="003838BC"/>
    <w:rsid w:val="00383DF0"/>
    <w:rsid w:val="00383FAB"/>
    <w:rsid w:val="00384AC0"/>
    <w:rsid w:val="003862A9"/>
    <w:rsid w:val="00386634"/>
    <w:rsid w:val="00386E5D"/>
    <w:rsid w:val="00387B9D"/>
    <w:rsid w:val="00387BCD"/>
    <w:rsid w:val="00387E9E"/>
    <w:rsid w:val="00391027"/>
    <w:rsid w:val="003924FE"/>
    <w:rsid w:val="00392BD6"/>
    <w:rsid w:val="00393535"/>
    <w:rsid w:val="0039364F"/>
    <w:rsid w:val="0039664D"/>
    <w:rsid w:val="00396686"/>
    <w:rsid w:val="00396BB8"/>
    <w:rsid w:val="00396FBE"/>
    <w:rsid w:val="0039773C"/>
    <w:rsid w:val="0039778E"/>
    <w:rsid w:val="003A0179"/>
    <w:rsid w:val="003A0F65"/>
    <w:rsid w:val="003A11C2"/>
    <w:rsid w:val="003A1967"/>
    <w:rsid w:val="003A3BA1"/>
    <w:rsid w:val="003A44FE"/>
    <w:rsid w:val="003A6550"/>
    <w:rsid w:val="003A6AEE"/>
    <w:rsid w:val="003A77AE"/>
    <w:rsid w:val="003B0100"/>
    <w:rsid w:val="003B0A57"/>
    <w:rsid w:val="003B22D9"/>
    <w:rsid w:val="003B262F"/>
    <w:rsid w:val="003B313E"/>
    <w:rsid w:val="003B3684"/>
    <w:rsid w:val="003B3A46"/>
    <w:rsid w:val="003B47DC"/>
    <w:rsid w:val="003B4941"/>
    <w:rsid w:val="003B5146"/>
    <w:rsid w:val="003B732E"/>
    <w:rsid w:val="003B7657"/>
    <w:rsid w:val="003B7B70"/>
    <w:rsid w:val="003B7FCB"/>
    <w:rsid w:val="003C0482"/>
    <w:rsid w:val="003C14F8"/>
    <w:rsid w:val="003C27C6"/>
    <w:rsid w:val="003C2AAB"/>
    <w:rsid w:val="003C3AD3"/>
    <w:rsid w:val="003C3B38"/>
    <w:rsid w:val="003C4455"/>
    <w:rsid w:val="003C44E2"/>
    <w:rsid w:val="003C47E0"/>
    <w:rsid w:val="003C54C8"/>
    <w:rsid w:val="003C5714"/>
    <w:rsid w:val="003C58D4"/>
    <w:rsid w:val="003C6B9F"/>
    <w:rsid w:val="003C6E2A"/>
    <w:rsid w:val="003C704D"/>
    <w:rsid w:val="003C7EA4"/>
    <w:rsid w:val="003D0299"/>
    <w:rsid w:val="003D0AB2"/>
    <w:rsid w:val="003D12DF"/>
    <w:rsid w:val="003D3230"/>
    <w:rsid w:val="003D377B"/>
    <w:rsid w:val="003D4D29"/>
    <w:rsid w:val="003D656B"/>
    <w:rsid w:val="003D6CA2"/>
    <w:rsid w:val="003D717E"/>
    <w:rsid w:val="003D7E4E"/>
    <w:rsid w:val="003E011E"/>
    <w:rsid w:val="003E0EE4"/>
    <w:rsid w:val="003E223E"/>
    <w:rsid w:val="003E25C0"/>
    <w:rsid w:val="003E3508"/>
    <w:rsid w:val="003E4FF9"/>
    <w:rsid w:val="003E5942"/>
    <w:rsid w:val="003E6300"/>
    <w:rsid w:val="003E6D2E"/>
    <w:rsid w:val="003E6D80"/>
    <w:rsid w:val="003E7536"/>
    <w:rsid w:val="003F03DD"/>
    <w:rsid w:val="003F05FA"/>
    <w:rsid w:val="003F0A31"/>
    <w:rsid w:val="003F0D25"/>
    <w:rsid w:val="003F235A"/>
    <w:rsid w:val="003F244A"/>
    <w:rsid w:val="003F24CF"/>
    <w:rsid w:val="003F30B8"/>
    <w:rsid w:val="003F3634"/>
    <w:rsid w:val="003F3968"/>
    <w:rsid w:val="003F49AE"/>
    <w:rsid w:val="003F4A96"/>
    <w:rsid w:val="003F4C45"/>
    <w:rsid w:val="003F517C"/>
    <w:rsid w:val="003F57F1"/>
    <w:rsid w:val="003F5E60"/>
    <w:rsid w:val="003F5F7B"/>
    <w:rsid w:val="003F6052"/>
    <w:rsid w:val="003F607F"/>
    <w:rsid w:val="003F6FB7"/>
    <w:rsid w:val="003F7626"/>
    <w:rsid w:val="003F7854"/>
    <w:rsid w:val="003F7CFD"/>
    <w:rsid w:val="003F7D64"/>
    <w:rsid w:val="004000A2"/>
    <w:rsid w:val="0040233C"/>
    <w:rsid w:val="00402D92"/>
    <w:rsid w:val="00402EFE"/>
    <w:rsid w:val="00405622"/>
    <w:rsid w:val="00405EE6"/>
    <w:rsid w:val="00407245"/>
    <w:rsid w:val="00407973"/>
    <w:rsid w:val="00410E08"/>
    <w:rsid w:val="004119F8"/>
    <w:rsid w:val="00412E44"/>
    <w:rsid w:val="004136E5"/>
    <w:rsid w:val="00413F86"/>
    <w:rsid w:val="0041407F"/>
    <w:rsid w:val="00414104"/>
    <w:rsid w:val="00414300"/>
    <w:rsid w:val="004148A4"/>
    <w:rsid w:val="004148B1"/>
    <w:rsid w:val="004157CC"/>
    <w:rsid w:val="004164FC"/>
    <w:rsid w:val="0041654D"/>
    <w:rsid w:val="004203C2"/>
    <w:rsid w:val="00421F8A"/>
    <w:rsid w:val="0042248F"/>
    <w:rsid w:val="00423108"/>
    <w:rsid w:val="004233EE"/>
    <w:rsid w:val="00423A12"/>
    <w:rsid w:val="00424CE6"/>
    <w:rsid w:val="00425310"/>
    <w:rsid w:val="004253A3"/>
    <w:rsid w:val="00425C67"/>
    <w:rsid w:val="00426B2F"/>
    <w:rsid w:val="00426DA7"/>
    <w:rsid w:val="00426FEA"/>
    <w:rsid w:val="00427039"/>
    <w:rsid w:val="00427B53"/>
    <w:rsid w:val="00427E7A"/>
    <w:rsid w:val="00431973"/>
    <w:rsid w:val="00431B93"/>
    <w:rsid w:val="00433218"/>
    <w:rsid w:val="00434D75"/>
    <w:rsid w:val="00436847"/>
    <w:rsid w:val="00436C49"/>
    <w:rsid w:val="00436CA3"/>
    <w:rsid w:val="0043706B"/>
    <w:rsid w:val="0043785A"/>
    <w:rsid w:val="00437E50"/>
    <w:rsid w:val="00437EAA"/>
    <w:rsid w:val="004401E9"/>
    <w:rsid w:val="00441437"/>
    <w:rsid w:val="00441805"/>
    <w:rsid w:val="00442072"/>
    <w:rsid w:val="004433E9"/>
    <w:rsid w:val="004445F6"/>
    <w:rsid w:val="00444B96"/>
    <w:rsid w:val="004450B1"/>
    <w:rsid w:val="00445366"/>
    <w:rsid w:val="00445FC5"/>
    <w:rsid w:val="00446469"/>
    <w:rsid w:val="00446C75"/>
    <w:rsid w:val="00446DA5"/>
    <w:rsid w:val="00447856"/>
    <w:rsid w:val="004479A6"/>
    <w:rsid w:val="00447F5B"/>
    <w:rsid w:val="00450558"/>
    <w:rsid w:val="00451686"/>
    <w:rsid w:val="00451FE8"/>
    <w:rsid w:val="00453351"/>
    <w:rsid w:val="004533B1"/>
    <w:rsid w:val="004536F1"/>
    <w:rsid w:val="00453B78"/>
    <w:rsid w:val="00453D30"/>
    <w:rsid w:val="004559A8"/>
    <w:rsid w:val="0046081E"/>
    <w:rsid w:val="00461169"/>
    <w:rsid w:val="00461A1D"/>
    <w:rsid w:val="00461DB0"/>
    <w:rsid w:val="00462E3C"/>
    <w:rsid w:val="0046342D"/>
    <w:rsid w:val="00463926"/>
    <w:rsid w:val="00464147"/>
    <w:rsid w:val="00464837"/>
    <w:rsid w:val="00464C9A"/>
    <w:rsid w:val="00467807"/>
    <w:rsid w:val="00467EC6"/>
    <w:rsid w:val="00470108"/>
    <w:rsid w:val="004709EF"/>
    <w:rsid w:val="00471989"/>
    <w:rsid w:val="00472308"/>
    <w:rsid w:val="00472333"/>
    <w:rsid w:val="00472A27"/>
    <w:rsid w:val="004738A3"/>
    <w:rsid w:val="004738CD"/>
    <w:rsid w:val="00474126"/>
    <w:rsid w:val="00474B7E"/>
    <w:rsid w:val="00474F3D"/>
    <w:rsid w:val="00475D6E"/>
    <w:rsid w:val="004761CD"/>
    <w:rsid w:val="0047794C"/>
    <w:rsid w:val="00477E3A"/>
    <w:rsid w:val="004801E1"/>
    <w:rsid w:val="00480A6E"/>
    <w:rsid w:val="00480CD1"/>
    <w:rsid w:val="0048109D"/>
    <w:rsid w:val="004813E4"/>
    <w:rsid w:val="004815BC"/>
    <w:rsid w:val="00481663"/>
    <w:rsid w:val="00483E5F"/>
    <w:rsid w:val="00484CA7"/>
    <w:rsid w:val="00485FF9"/>
    <w:rsid w:val="00487660"/>
    <w:rsid w:val="00487B4B"/>
    <w:rsid w:val="00487F58"/>
    <w:rsid w:val="004907F0"/>
    <w:rsid w:val="00490E66"/>
    <w:rsid w:val="00490EAF"/>
    <w:rsid w:val="0049140B"/>
    <w:rsid w:val="00491604"/>
    <w:rsid w:val="0049161A"/>
    <w:rsid w:val="004923A5"/>
    <w:rsid w:val="00493C2D"/>
    <w:rsid w:val="00493EBD"/>
    <w:rsid w:val="00495873"/>
    <w:rsid w:val="00496BFB"/>
    <w:rsid w:val="00497565"/>
    <w:rsid w:val="004976CA"/>
    <w:rsid w:val="004A026D"/>
    <w:rsid w:val="004A0A12"/>
    <w:rsid w:val="004A15C7"/>
    <w:rsid w:val="004A1626"/>
    <w:rsid w:val="004A2241"/>
    <w:rsid w:val="004A2B1D"/>
    <w:rsid w:val="004A452C"/>
    <w:rsid w:val="004A4CD2"/>
    <w:rsid w:val="004A4EE5"/>
    <w:rsid w:val="004A527D"/>
    <w:rsid w:val="004A6876"/>
    <w:rsid w:val="004A6A0D"/>
    <w:rsid w:val="004B013B"/>
    <w:rsid w:val="004B0F5E"/>
    <w:rsid w:val="004B112B"/>
    <w:rsid w:val="004B1550"/>
    <w:rsid w:val="004B1BD1"/>
    <w:rsid w:val="004B1C93"/>
    <w:rsid w:val="004B29C2"/>
    <w:rsid w:val="004B3D38"/>
    <w:rsid w:val="004B3E97"/>
    <w:rsid w:val="004B49AC"/>
    <w:rsid w:val="004B58BA"/>
    <w:rsid w:val="004B680E"/>
    <w:rsid w:val="004B6DF2"/>
    <w:rsid w:val="004B6F4A"/>
    <w:rsid w:val="004B7090"/>
    <w:rsid w:val="004B71D3"/>
    <w:rsid w:val="004C0005"/>
    <w:rsid w:val="004C01E4"/>
    <w:rsid w:val="004C05D4"/>
    <w:rsid w:val="004C086C"/>
    <w:rsid w:val="004C0BE6"/>
    <w:rsid w:val="004C0CCA"/>
    <w:rsid w:val="004C149C"/>
    <w:rsid w:val="004C15F7"/>
    <w:rsid w:val="004C1F56"/>
    <w:rsid w:val="004C25FD"/>
    <w:rsid w:val="004C27BC"/>
    <w:rsid w:val="004C2A91"/>
    <w:rsid w:val="004C3213"/>
    <w:rsid w:val="004C3280"/>
    <w:rsid w:val="004C45EC"/>
    <w:rsid w:val="004C627B"/>
    <w:rsid w:val="004C6788"/>
    <w:rsid w:val="004C67E4"/>
    <w:rsid w:val="004C7E9B"/>
    <w:rsid w:val="004D0525"/>
    <w:rsid w:val="004D06B5"/>
    <w:rsid w:val="004D07D8"/>
    <w:rsid w:val="004D15F3"/>
    <w:rsid w:val="004D1CF9"/>
    <w:rsid w:val="004D1F97"/>
    <w:rsid w:val="004D248E"/>
    <w:rsid w:val="004D27A2"/>
    <w:rsid w:val="004D2EC8"/>
    <w:rsid w:val="004D3C4B"/>
    <w:rsid w:val="004D5311"/>
    <w:rsid w:val="004D531F"/>
    <w:rsid w:val="004D5BDF"/>
    <w:rsid w:val="004D5DCC"/>
    <w:rsid w:val="004D5E82"/>
    <w:rsid w:val="004D5F9C"/>
    <w:rsid w:val="004D60FA"/>
    <w:rsid w:val="004D6612"/>
    <w:rsid w:val="004D6CC0"/>
    <w:rsid w:val="004D70BC"/>
    <w:rsid w:val="004D7467"/>
    <w:rsid w:val="004E0113"/>
    <w:rsid w:val="004E01C6"/>
    <w:rsid w:val="004E0709"/>
    <w:rsid w:val="004E088A"/>
    <w:rsid w:val="004E0E13"/>
    <w:rsid w:val="004E10A3"/>
    <w:rsid w:val="004E1BC3"/>
    <w:rsid w:val="004E1C87"/>
    <w:rsid w:val="004E3DC8"/>
    <w:rsid w:val="004E48A1"/>
    <w:rsid w:val="004E4FF5"/>
    <w:rsid w:val="004E56B8"/>
    <w:rsid w:val="004E5DF1"/>
    <w:rsid w:val="004E6B96"/>
    <w:rsid w:val="004F10AF"/>
    <w:rsid w:val="004F11A4"/>
    <w:rsid w:val="004F14F0"/>
    <w:rsid w:val="004F2389"/>
    <w:rsid w:val="004F2609"/>
    <w:rsid w:val="004F304D"/>
    <w:rsid w:val="004F40D8"/>
    <w:rsid w:val="004F6046"/>
    <w:rsid w:val="004F61BE"/>
    <w:rsid w:val="004F66B1"/>
    <w:rsid w:val="004F7151"/>
    <w:rsid w:val="004F7479"/>
    <w:rsid w:val="005007BF"/>
    <w:rsid w:val="00500D74"/>
    <w:rsid w:val="00501149"/>
    <w:rsid w:val="005022CD"/>
    <w:rsid w:val="005028CD"/>
    <w:rsid w:val="00502B51"/>
    <w:rsid w:val="0050416C"/>
    <w:rsid w:val="00504CC2"/>
    <w:rsid w:val="00506EE1"/>
    <w:rsid w:val="005112A6"/>
    <w:rsid w:val="00511C07"/>
    <w:rsid w:val="00511E86"/>
    <w:rsid w:val="00512FD2"/>
    <w:rsid w:val="00513719"/>
    <w:rsid w:val="00515018"/>
    <w:rsid w:val="00515A69"/>
    <w:rsid w:val="005173A6"/>
    <w:rsid w:val="005201D8"/>
    <w:rsid w:val="00520605"/>
    <w:rsid w:val="00520BAA"/>
    <w:rsid w:val="00521459"/>
    <w:rsid w:val="00521894"/>
    <w:rsid w:val="005219FC"/>
    <w:rsid w:val="00521C8E"/>
    <w:rsid w:val="00522421"/>
    <w:rsid w:val="00522440"/>
    <w:rsid w:val="005248D5"/>
    <w:rsid w:val="00525208"/>
    <w:rsid w:val="005257A5"/>
    <w:rsid w:val="00525872"/>
    <w:rsid w:val="00525EF9"/>
    <w:rsid w:val="005264C0"/>
    <w:rsid w:val="00526928"/>
    <w:rsid w:val="00526A8A"/>
    <w:rsid w:val="00527B56"/>
    <w:rsid w:val="005306A2"/>
    <w:rsid w:val="00531DF2"/>
    <w:rsid w:val="00532E97"/>
    <w:rsid w:val="0053571C"/>
    <w:rsid w:val="00535EFF"/>
    <w:rsid w:val="00536017"/>
    <w:rsid w:val="00536768"/>
    <w:rsid w:val="00536E1B"/>
    <w:rsid w:val="005407FD"/>
    <w:rsid w:val="005417EF"/>
    <w:rsid w:val="005418E3"/>
    <w:rsid w:val="005429EB"/>
    <w:rsid w:val="00543B14"/>
    <w:rsid w:val="005442EE"/>
    <w:rsid w:val="005450E2"/>
    <w:rsid w:val="0054550C"/>
    <w:rsid w:val="0054637E"/>
    <w:rsid w:val="00547353"/>
    <w:rsid w:val="005474E7"/>
    <w:rsid w:val="005479A4"/>
    <w:rsid w:val="0055030D"/>
    <w:rsid w:val="00550AB9"/>
    <w:rsid w:val="005512A3"/>
    <w:rsid w:val="00553938"/>
    <w:rsid w:val="00553BE9"/>
    <w:rsid w:val="00554732"/>
    <w:rsid w:val="00554B51"/>
    <w:rsid w:val="00554BEC"/>
    <w:rsid w:val="005550BB"/>
    <w:rsid w:val="005554E4"/>
    <w:rsid w:val="00556088"/>
    <w:rsid w:val="005563B3"/>
    <w:rsid w:val="005578CE"/>
    <w:rsid w:val="00557C5B"/>
    <w:rsid w:val="00560677"/>
    <w:rsid w:val="00560931"/>
    <w:rsid w:val="00562781"/>
    <w:rsid w:val="00562C79"/>
    <w:rsid w:val="00562FB6"/>
    <w:rsid w:val="00563055"/>
    <w:rsid w:val="0056540F"/>
    <w:rsid w:val="00565DF1"/>
    <w:rsid w:val="00566C81"/>
    <w:rsid w:val="005671E1"/>
    <w:rsid w:val="005674FA"/>
    <w:rsid w:val="00567955"/>
    <w:rsid w:val="00567A44"/>
    <w:rsid w:val="0057093B"/>
    <w:rsid w:val="0057105F"/>
    <w:rsid w:val="00571CB7"/>
    <w:rsid w:val="00571F7C"/>
    <w:rsid w:val="005723D9"/>
    <w:rsid w:val="0057271C"/>
    <w:rsid w:val="00572845"/>
    <w:rsid w:val="00572AC7"/>
    <w:rsid w:val="00572B08"/>
    <w:rsid w:val="00572B16"/>
    <w:rsid w:val="00573AE7"/>
    <w:rsid w:val="005744DD"/>
    <w:rsid w:val="00574F35"/>
    <w:rsid w:val="00575F10"/>
    <w:rsid w:val="0057629C"/>
    <w:rsid w:val="005768A8"/>
    <w:rsid w:val="005812AD"/>
    <w:rsid w:val="0058218F"/>
    <w:rsid w:val="00583898"/>
    <w:rsid w:val="00585CD3"/>
    <w:rsid w:val="00585EE9"/>
    <w:rsid w:val="00585FB4"/>
    <w:rsid w:val="00587156"/>
    <w:rsid w:val="0059158C"/>
    <w:rsid w:val="00591DAF"/>
    <w:rsid w:val="00592658"/>
    <w:rsid w:val="00592772"/>
    <w:rsid w:val="0059377A"/>
    <w:rsid w:val="00593BF0"/>
    <w:rsid w:val="005940D4"/>
    <w:rsid w:val="0059419B"/>
    <w:rsid w:val="005944FD"/>
    <w:rsid w:val="00594906"/>
    <w:rsid w:val="005953F1"/>
    <w:rsid w:val="0059574A"/>
    <w:rsid w:val="005970D9"/>
    <w:rsid w:val="00597B6D"/>
    <w:rsid w:val="005A016C"/>
    <w:rsid w:val="005A04C0"/>
    <w:rsid w:val="005A103C"/>
    <w:rsid w:val="005A1996"/>
    <w:rsid w:val="005A1B9B"/>
    <w:rsid w:val="005A2668"/>
    <w:rsid w:val="005A3128"/>
    <w:rsid w:val="005A3210"/>
    <w:rsid w:val="005A47D8"/>
    <w:rsid w:val="005A51BF"/>
    <w:rsid w:val="005A585D"/>
    <w:rsid w:val="005A5EA4"/>
    <w:rsid w:val="005A6453"/>
    <w:rsid w:val="005A6751"/>
    <w:rsid w:val="005A6D5C"/>
    <w:rsid w:val="005A7066"/>
    <w:rsid w:val="005B092E"/>
    <w:rsid w:val="005B0EC2"/>
    <w:rsid w:val="005B152C"/>
    <w:rsid w:val="005B1CE7"/>
    <w:rsid w:val="005B1EE0"/>
    <w:rsid w:val="005B21A0"/>
    <w:rsid w:val="005B2596"/>
    <w:rsid w:val="005B2A6F"/>
    <w:rsid w:val="005B2B24"/>
    <w:rsid w:val="005B37A2"/>
    <w:rsid w:val="005B4425"/>
    <w:rsid w:val="005B4AC8"/>
    <w:rsid w:val="005B4B94"/>
    <w:rsid w:val="005B6572"/>
    <w:rsid w:val="005B65DD"/>
    <w:rsid w:val="005B71E2"/>
    <w:rsid w:val="005B7D45"/>
    <w:rsid w:val="005C102E"/>
    <w:rsid w:val="005C131A"/>
    <w:rsid w:val="005C1A8D"/>
    <w:rsid w:val="005C3EE8"/>
    <w:rsid w:val="005C48DD"/>
    <w:rsid w:val="005C6442"/>
    <w:rsid w:val="005C719A"/>
    <w:rsid w:val="005C7B22"/>
    <w:rsid w:val="005D0059"/>
    <w:rsid w:val="005D08B2"/>
    <w:rsid w:val="005D15B3"/>
    <w:rsid w:val="005D1795"/>
    <w:rsid w:val="005D1E73"/>
    <w:rsid w:val="005D238A"/>
    <w:rsid w:val="005D2454"/>
    <w:rsid w:val="005D34F9"/>
    <w:rsid w:val="005D4190"/>
    <w:rsid w:val="005D465C"/>
    <w:rsid w:val="005D4A6F"/>
    <w:rsid w:val="005D5345"/>
    <w:rsid w:val="005D5A40"/>
    <w:rsid w:val="005D67A3"/>
    <w:rsid w:val="005D729B"/>
    <w:rsid w:val="005D7342"/>
    <w:rsid w:val="005D7D8E"/>
    <w:rsid w:val="005D7E23"/>
    <w:rsid w:val="005E02FC"/>
    <w:rsid w:val="005E04A0"/>
    <w:rsid w:val="005E06F0"/>
    <w:rsid w:val="005E1F7F"/>
    <w:rsid w:val="005E2988"/>
    <w:rsid w:val="005E3085"/>
    <w:rsid w:val="005E3A54"/>
    <w:rsid w:val="005E3C36"/>
    <w:rsid w:val="005E4276"/>
    <w:rsid w:val="005E57CA"/>
    <w:rsid w:val="005E65B0"/>
    <w:rsid w:val="005E7F86"/>
    <w:rsid w:val="005F0CF4"/>
    <w:rsid w:val="005F191A"/>
    <w:rsid w:val="005F255F"/>
    <w:rsid w:val="005F3BC7"/>
    <w:rsid w:val="005F51E1"/>
    <w:rsid w:val="005F5931"/>
    <w:rsid w:val="005F63C7"/>
    <w:rsid w:val="0060280D"/>
    <w:rsid w:val="00604FDA"/>
    <w:rsid w:val="006061CA"/>
    <w:rsid w:val="0060656A"/>
    <w:rsid w:val="00606E6E"/>
    <w:rsid w:val="00611C80"/>
    <w:rsid w:val="00611D29"/>
    <w:rsid w:val="00611D32"/>
    <w:rsid w:val="00611DF8"/>
    <w:rsid w:val="006122E6"/>
    <w:rsid w:val="00613050"/>
    <w:rsid w:val="00613CAB"/>
    <w:rsid w:val="00614BD6"/>
    <w:rsid w:val="0061510F"/>
    <w:rsid w:val="00620692"/>
    <w:rsid w:val="00621CF7"/>
    <w:rsid w:val="00621EB4"/>
    <w:rsid w:val="00621EEF"/>
    <w:rsid w:val="00622439"/>
    <w:rsid w:val="00622C64"/>
    <w:rsid w:val="00623A87"/>
    <w:rsid w:val="006240D8"/>
    <w:rsid w:val="006242CA"/>
    <w:rsid w:val="006248C8"/>
    <w:rsid w:val="0062501E"/>
    <w:rsid w:val="00625647"/>
    <w:rsid w:val="00625DCC"/>
    <w:rsid w:val="00627507"/>
    <w:rsid w:val="00627727"/>
    <w:rsid w:val="00631163"/>
    <w:rsid w:val="006323C4"/>
    <w:rsid w:val="00633717"/>
    <w:rsid w:val="00634248"/>
    <w:rsid w:val="006344E1"/>
    <w:rsid w:val="00635CCE"/>
    <w:rsid w:val="0063642E"/>
    <w:rsid w:val="00636C37"/>
    <w:rsid w:val="0063726E"/>
    <w:rsid w:val="00640357"/>
    <w:rsid w:val="00640C0D"/>
    <w:rsid w:val="00641105"/>
    <w:rsid w:val="00641AAB"/>
    <w:rsid w:val="00642527"/>
    <w:rsid w:val="00644191"/>
    <w:rsid w:val="00645979"/>
    <w:rsid w:val="00646561"/>
    <w:rsid w:val="00647951"/>
    <w:rsid w:val="0065007A"/>
    <w:rsid w:val="00650D14"/>
    <w:rsid w:val="006512FF"/>
    <w:rsid w:val="00651405"/>
    <w:rsid w:val="006514E1"/>
    <w:rsid w:val="00651642"/>
    <w:rsid w:val="0065165E"/>
    <w:rsid w:val="006520C4"/>
    <w:rsid w:val="006524B5"/>
    <w:rsid w:val="00652661"/>
    <w:rsid w:val="00652B78"/>
    <w:rsid w:val="00654155"/>
    <w:rsid w:val="006545C4"/>
    <w:rsid w:val="00654E43"/>
    <w:rsid w:val="006550EF"/>
    <w:rsid w:val="006557CB"/>
    <w:rsid w:val="00655D1E"/>
    <w:rsid w:val="00656F32"/>
    <w:rsid w:val="00657D9D"/>
    <w:rsid w:val="00660BEE"/>
    <w:rsid w:val="00661971"/>
    <w:rsid w:val="00661CE8"/>
    <w:rsid w:val="006623D9"/>
    <w:rsid w:val="0066260A"/>
    <w:rsid w:val="0066278B"/>
    <w:rsid w:val="006633A6"/>
    <w:rsid w:val="0066349D"/>
    <w:rsid w:val="00664426"/>
    <w:rsid w:val="00664B2B"/>
    <w:rsid w:val="006654C1"/>
    <w:rsid w:val="0066550C"/>
    <w:rsid w:val="00665ADD"/>
    <w:rsid w:val="006662F9"/>
    <w:rsid w:val="00666DE7"/>
    <w:rsid w:val="006670A9"/>
    <w:rsid w:val="006673F6"/>
    <w:rsid w:val="00667971"/>
    <w:rsid w:val="00671056"/>
    <w:rsid w:val="006716F2"/>
    <w:rsid w:val="00672843"/>
    <w:rsid w:val="006728AA"/>
    <w:rsid w:val="00672DCB"/>
    <w:rsid w:val="006735AC"/>
    <w:rsid w:val="00673ED5"/>
    <w:rsid w:val="00675247"/>
    <w:rsid w:val="00675B2B"/>
    <w:rsid w:val="00676991"/>
    <w:rsid w:val="00680937"/>
    <w:rsid w:val="00682047"/>
    <w:rsid w:val="00682734"/>
    <w:rsid w:val="00682BF2"/>
    <w:rsid w:val="006859CE"/>
    <w:rsid w:val="00685B1C"/>
    <w:rsid w:val="006871C0"/>
    <w:rsid w:val="006873E2"/>
    <w:rsid w:val="0069038E"/>
    <w:rsid w:val="00691270"/>
    <w:rsid w:val="00692673"/>
    <w:rsid w:val="0069345F"/>
    <w:rsid w:val="00693A4C"/>
    <w:rsid w:val="00694357"/>
    <w:rsid w:val="006943A9"/>
    <w:rsid w:val="006947C4"/>
    <w:rsid w:val="006947E7"/>
    <w:rsid w:val="00694BA8"/>
    <w:rsid w:val="006966E3"/>
    <w:rsid w:val="006967C3"/>
    <w:rsid w:val="00696AEC"/>
    <w:rsid w:val="00696C04"/>
    <w:rsid w:val="006979C5"/>
    <w:rsid w:val="00697E72"/>
    <w:rsid w:val="006A037C"/>
    <w:rsid w:val="006A36F4"/>
    <w:rsid w:val="006A406F"/>
    <w:rsid w:val="006A4CCA"/>
    <w:rsid w:val="006A57AF"/>
    <w:rsid w:val="006A5D3A"/>
    <w:rsid w:val="006A6770"/>
    <w:rsid w:val="006A6CF2"/>
    <w:rsid w:val="006B0C95"/>
    <w:rsid w:val="006B113E"/>
    <w:rsid w:val="006B1D4D"/>
    <w:rsid w:val="006B32BA"/>
    <w:rsid w:val="006B4B63"/>
    <w:rsid w:val="006B54FC"/>
    <w:rsid w:val="006B5903"/>
    <w:rsid w:val="006B5D0C"/>
    <w:rsid w:val="006B6A3A"/>
    <w:rsid w:val="006B6D48"/>
    <w:rsid w:val="006C059C"/>
    <w:rsid w:val="006C05ED"/>
    <w:rsid w:val="006C09B7"/>
    <w:rsid w:val="006C0D46"/>
    <w:rsid w:val="006C0E48"/>
    <w:rsid w:val="006C12AA"/>
    <w:rsid w:val="006C20C2"/>
    <w:rsid w:val="006C23D4"/>
    <w:rsid w:val="006C2719"/>
    <w:rsid w:val="006C28CB"/>
    <w:rsid w:val="006C2B84"/>
    <w:rsid w:val="006C375B"/>
    <w:rsid w:val="006C3A89"/>
    <w:rsid w:val="006C4EC6"/>
    <w:rsid w:val="006C5025"/>
    <w:rsid w:val="006C6B19"/>
    <w:rsid w:val="006C7530"/>
    <w:rsid w:val="006C7BB0"/>
    <w:rsid w:val="006D0547"/>
    <w:rsid w:val="006D1905"/>
    <w:rsid w:val="006D3237"/>
    <w:rsid w:val="006D3AC8"/>
    <w:rsid w:val="006D5958"/>
    <w:rsid w:val="006D66CA"/>
    <w:rsid w:val="006D69F0"/>
    <w:rsid w:val="006D6E69"/>
    <w:rsid w:val="006D762F"/>
    <w:rsid w:val="006D769B"/>
    <w:rsid w:val="006D77C9"/>
    <w:rsid w:val="006E0912"/>
    <w:rsid w:val="006E22BB"/>
    <w:rsid w:val="006E29EA"/>
    <w:rsid w:val="006E2E37"/>
    <w:rsid w:val="006E3BB7"/>
    <w:rsid w:val="006E3CF1"/>
    <w:rsid w:val="006E431A"/>
    <w:rsid w:val="006E4449"/>
    <w:rsid w:val="006E554F"/>
    <w:rsid w:val="006E5BBE"/>
    <w:rsid w:val="006E789B"/>
    <w:rsid w:val="006E7A8C"/>
    <w:rsid w:val="006E7E80"/>
    <w:rsid w:val="006F06C2"/>
    <w:rsid w:val="006F0729"/>
    <w:rsid w:val="006F1200"/>
    <w:rsid w:val="006F2011"/>
    <w:rsid w:val="006F2B22"/>
    <w:rsid w:val="006F3FB3"/>
    <w:rsid w:val="006F4225"/>
    <w:rsid w:val="006F48CA"/>
    <w:rsid w:val="006F64DD"/>
    <w:rsid w:val="006F7855"/>
    <w:rsid w:val="00700658"/>
    <w:rsid w:val="0070145B"/>
    <w:rsid w:val="00701532"/>
    <w:rsid w:val="00701B9F"/>
    <w:rsid w:val="007021A2"/>
    <w:rsid w:val="007030F3"/>
    <w:rsid w:val="00704156"/>
    <w:rsid w:val="0070451D"/>
    <w:rsid w:val="0070503B"/>
    <w:rsid w:val="00705211"/>
    <w:rsid w:val="00705AF9"/>
    <w:rsid w:val="0070616E"/>
    <w:rsid w:val="00706C1F"/>
    <w:rsid w:val="00710073"/>
    <w:rsid w:val="00710C41"/>
    <w:rsid w:val="0071319B"/>
    <w:rsid w:val="00714266"/>
    <w:rsid w:val="00715127"/>
    <w:rsid w:val="0071524D"/>
    <w:rsid w:val="00715A9A"/>
    <w:rsid w:val="00715E8E"/>
    <w:rsid w:val="00716D5A"/>
    <w:rsid w:val="00717E21"/>
    <w:rsid w:val="0072049D"/>
    <w:rsid w:val="007204AB"/>
    <w:rsid w:val="00720504"/>
    <w:rsid w:val="00720CF6"/>
    <w:rsid w:val="0072130F"/>
    <w:rsid w:val="0072204F"/>
    <w:rsid w:val="00723580"/>
    <w:rsid w:val="00723755"/>
    <w:rsid w:val="007239E4"/>
    <w:rsid w:val="00726C8A"/>
    <w:rsid w:val="007272BE"/>
    <w:rsid w:val="0073136C"/>
    <w:rsid w:val="00731F0F"/>
    <w:rsid w:val="00732C0E"/>
    <w:rsid w:val="007331C7"/>
    <w:rsid w:val="00733250"/>
    <w:rsid w:val="00733C09"/>
    <w:rsid w:val="007343AC"/>
    <w:rsid w:val="007349AA"/>
    <w:rsid w:val="00734AA3"/>
    <w:rsid w:val="00735A75"/>
    <w:rsid w:val="007367AC"/>
    <w:rsid w:val="007403FD"/>
    <w:rsid w:val="00741404"/>
    <w:rsid w:val="007416C8"/>
    <w:rsid w:val="00743D93"/>
    <w:rsid w:val="00743F8A"/>
    <w:rsid w:val="007449E5"/>
    <w:rsid w:val="00744BAE"/>
    <w:rsid w:val="007454F0"/>
    <w:rsid w:val="00745DB5"/>
    <w:rsid w:val="0074709D"/>
    <w:rsid w:val="0074716C"/>
    <w:rsid w:val="00747373"/>
    <w:rsid w:val="00747FF0"/>
    <w:rsid w:val="0075022A"/>
    <w:rsid w:val="00750827"/>
    <w:rsid w:val="00750AEE"/>
    <w:rsid w:val="00750E80"/>
    <w:rsid w:val="00751CB0"/>
    <w:rsid w:val="00752666"/>
    <w:rsid w:val="00752D54"/>
    <w:rsid w:val="0075465C"/>
    <w:rsid w:val="0075574F"/>
    <w:rsid w:val="00756DFA"/>
    <w:rsid w:val="00757F49"/>
    <w:rsid w:val="00761928"/>
    <w:rsid w:val="0076387D"/>
    <w:rsid w:val="00763F84"/>
    <w:rsid w:val="00764C4C"/>
    <w:rsid w:val="00764D1A"/>
    <w:rsid w:val="00764D2A"/>
    <w:rsid w:val="00764D4E"/>
    <w:rsid w:val="00765A1F"/>
    <w:rsid w:val="00766C0A"/>
    <w:rsid w:val="007671C4"/>
    <w:rsid w:val="0076749A"/>
    <w:rsid w:val="0076765A"/>
    <w:rsid w:val="0076795D"/>
    <w:rsid w:val="007700D8"/>
    <w:rsid w:val="00770916"/>
    <w:rsid w:val="00770F4E"/>
    <w:rsid w:val="00771F66"/>
    <w:rsid w:val="007720ED"/>
    <w:rsid w:val="00772702"/>
    <w:rsid w:val="0077271E"/>
    <w:rsid w:val="007729F5"/>
    <w:rsid w:val="00773709"/>
    <w:rsid w:val="00773BF4"/>
    <w:rsid w:val="0077438E"/>
    <w:rsid w:val="00774607"/>
    <w:rsid w:val="00775B6D"/>
    <w:rsid w:val="00775C6F"/>
    <w:rsid w:val="0077691B"/>
    <w:rsid w:val="00776B40"/>
    <w:rsid w:val="00776D68"/>
    <w:rsid w:val="00780A4D"/>
    <w:rsid w:val="00781A80"/>
    <w:rsid w:val="007823AB"/>
    <w:rsid w:val="00782AD1"/>
    <w:rsid w:val="007830DE"/>
    <w:rsid w:val="007850EE"/>
    <w:rsid w:val="00785B95"/>
    <w:rsid w:val="00787462"/>
    <w:rsid w:val="0079067A"/>
    <w:rsid w:val="00790E96"/>
    <w:rsid w:val="00792C64"/>
    <w:rsid w:val="00793366"/>
    <w:rsid w:val="0079363D"/>
    <w:rsid w:val="00793698"/>
    <w:rsid w:val="00793DA2"/>
    <w:rsid w:val="00794C4A"/>
    <w:rsid w:val="00794D4A"/>
    <w:rsid w:val="00795301"/>
    <w:rsid w:val="00795370"/>
    <w:rsid w:val="00795B30"/>
    <w:rsid w:val="00796C70"/>
    <w:rsid w:val="007978B9"/>
    <w:rsid w:val="00797CE6"/>
    <w:rsid w:val="007A1329"/>
    <w:rsid w:val="007A1B66"/>
    <w:rsid w:val="007A291D"/>
    <w:rsid w:val="007A2A83"/>
    <w:rsid w:val="007A32AF"/>
    <w:rsid w:val="007A3CF6"/>
    <w:rsid w:val="007A6687"/>
    <w:rsid w:val="007A69C9"/>
    <w:rsid w:val="007A716F"/>
    <w:rsid w:val="007A71F8"/>
    <w:rsid w:val="007A7657"/>
    <w:rsid w:val="007B0793"/>
    <w:rsid w:val="007B0F33"/>
    <w:rsid w:val="007B100E"/>
    <w:rsid w:val="007B168F"/>
    <w:rsid w:val="007B16A5"/>
    <w:rsid w:val="007B270A"/>
    <w:rsid w:val="007B322F"/>
    <w:rsid w:val="007B3AF1"/>
    <w:rsid w:val="007B4F58"/>
    <w:rsid w:val="007B5B89"/>
    <w:rsid w:val="007B5C15"/>
    <w:rsid w:val="007B6730"/>
    <w:rsid w:val="007B6815"/>
    <w:rsid w:val="007B6B2D"/>
    <w:rsid w:val="007B7274"/>
    <w:rsid w:val="007B79D2"/>
    <w:rsid w:val="007B7A5D"/>
    <w:rsid w:val="007C0152"/>
    <w:rsid w:val="007C0695"/>
    <w:rsid w:val="007C08E9"/>
    <w:rsid w:val="007C0F5C"/>
    <w:rsid w:val="007C419A"/>
    <w:rsid w:val="007C44F5"/>
    <w:rsid w:val="007C4CC8"/>
    <w:rsid w:val="007C5426"/>
    <w:rsid w:val="007C5722"/>
    <w:rsid w:val="007C5798"/>
    <w:rsid w:val="007C6FBF"/>
    <w:rsid w:val="007C761A"/>
    <w:rsid w:val="007C79ED"/>
    <w:rsid w:val="007C7FDC"/>
    <w:rsid w:val="007D13E2"/>
    <w:rsid w:val="007D197A"/>
    <w:rsid w:val="007D1A02"/>
    <w:rsid w:val="007D1C09"/>
    <w:rsid w:val="007D1D70"/>
    <w:rsid w:val="007D1FCE"/>
    <w:rsid w:val="007D25A7"/>
    <w:rsid w:val="007D382A"/>
    <w:rsid w:val="007D3F2F"/>
    <w:rsid w:val="007D4832"/>
    <w:rsid w:val="007D4F31"/>
    <w:rsid w:val="007D588C"/>
    <w:rsid w:val="007D5E46"/>
    <w:rsid w:val="007D619F"/>
    <w:rsid w:val="007D77E3"/>
    <w:rsid w:val="007D78FD"/>
    <w:rsid w:val="007E01CC"/>
    <w:rsid w:val="007E07E2"/>
    <w:rsid w:val="007E0A3D"/>
    <w:rsid w:val="007E0EC0"/>
    <w:rsid w:val="007E0F8A"/>
    <w:rsid w:val="007E2196"/>
    <w:rsid w:val="007E21B2"/>
    <w:rsid w:val="007E27A0"/>
    <w:rsid w:val="007E2C4E"/>
    <w:rsid w:val="007E2D93"/>
    <w:rsid w:val="007E35D0"/>
    <w:rsid w:val="007E5610"/>
    <w:rsid w:val="007E5914"/>
    <w:rsid w:val="007E62FC"/>
    <w:rsid w:val="007E6623"/>
    <w:rsid w:val="007E6752"/>
    <w:rsid w:val="007F1905"/>
    <w:rsid w:val="007F2096"/>
    <w:rsid w:val="007F2796"/>
    <w:rsid w:val="007F29B7"/>
    <w:rsid w:val="007F4B6B"/>
    <w:rsid w:val="007F5070"/>
    <w:rsid w:val="007F5525"/>
    <w:rsid w:val="007F690B"/>
    <w:rsid w:val="007F6CAC"/>
    <w:rsid w:val="007F790A"/>
    <w:rsid w:val="007F7B39"/>
    <w:rsid w:val="0080005F"/>
    <w:rsid w:val="008001E6"/>
    <w:rsid w:val="00800440"/>
    <w:rsid w:val="00800836"/>
    <w:rsid w:val="00800E93"/>
    <w:rsid w:val="00801300"/>
    <w:rsid w:val="00801977"/>
    <w:rsid w:val="00801F92"/>
    <w:rsid w:val="00801FD7"/>
    <w:rsid w:val="00802736"/>
    <w:rsid w:val="008028D4"/>
    <w:rsid w:val="00802C64"/>
    <w:rsid w:val="00803138"/>
    <w:rsid w:val="008039B9"/>
    <w:rsid w:val="00803F6B"/>
    <w:rsid w:val="008051D0"/>
    <w:rsid w:val="008055DE"/>
    <w:rsid w:val="008056C4"/>
    <w:rsid w:val="00805E52"/>
    <w:rsid w:val="00805E60"/>
    <w:rsid w:val="008061D0"/>
    <w:rsid w:val="00807911"/>
    <w:rsid w:val="00810B38"/>
    <w:rsid w:val="00814937"/>
    <w:rsid w:val="008166B8"/>
    <w:rsid w:val="00817280"/>
    <w:rsid w:val="00817973"/>
    <w:rsid w:val="00817B4A"/>
    <w:rsid w:val="008204C7"/>
    <w:rsid w:val="008205EB"/>
    <w:rsid w:val="00820992"/>
    <w:rsid w:val="008209BF"/>
    <w:rsid w:val="00820C2C"/>
    <w:rsid w:val="0082191C"/>
    <w:rsid w:val="00822146"/>
    <w:rsid w:val="00823602"/>
    <w:rsid w:val="00823DC1"/>
    <w:rsid w:val="00825014"/>
    <w:rsid w:val="008251D4"/>
    <w:rsid w:val="008255F5"/>
    <w:rsid w:val="00825894"/>
    <w:rsid w:val="00827076"/>
    <w:rsid w:val="0083014E"/>
    <w:rsid w:val="0083027E"/>
    <w:rsid w:val="0083077E"/>
    <w:rsid w:val="00830829"/>
    <w:rsid w:val="00830A94"/>
    <w:rsid w:val="00830CB4"/>
    <w:rsid w:val="00830E8A"/>
    <w:rsid w:val="00831376"/>
    <w:rsid w:val="0083214A"/>
    <w:rsid w:val="00832F54"/>
    <w:rsid w:val="008332F2"/>
    <w:rsid w:val="00833654"/>
    <w:rsid w:val="00833C51"/>
    <w:rsid w:val="00833E8C"/>
    <w:rsid w:val="00834220"/>
    <w:rsid w:val="00834ECC"/>
    <w:rsid w:val="00836A23"/>
    <w:rsid w:val="00837366"/>
    <w:rsid w:val="00837449"/>
    <w:rsid w:val="0083756A"/>
    <w:rsid w:val="0084039F"/>
    <w:rsid w:val="00841428"/>
    <w:rsid w:val="00842211"/>
    <w:rsid w:val="008425D7"/>
    <w:rsid w:val="008444FE"/>
    <w:rsid w:val="00844C73"/>
    <w:rsid w:val="00845387"/>
    <w:rsid w:val="00845723"/>
    <w:rsid w:val="00845C41"/>
    <w:rsid w:val="00847C59"/>
    <w:rsid w:val="008508E2"/>
    <w:rsid w:val="008519A8"/>
    <w:rsid w:val="00851EF9"/>
    <w:rsid w:val="0085253C"/>
    <w:rsid w:val="00852727"/>
    <w:rsid w:val="00852A55"/>
    <w:rsid w:val="008544B8"/>
    <w:rsid w:val="0085519F"/>
    <w:rsid w:val="0085648F"/>
    <w:rsid w:val="00856603"/>
    <w:rsid w:val="008577FD"/>
    <w:rsid w:val="00860296"/>
    <w:rsid w:val="00860B03"/>
    <w:rsid w:val="00862085"/>
    <w:rsid w:val="008646FD"/>
    <w:rsid w:val="0086497A"/>
    <w:rsid w:val="0086549A"/>
    <w:rsid w:val="00865E5F"/>
    <w:rsid w:val="00865FCF"/>
    <w:rsid w:val="008672C7"/>
    <w:rsid w:val="00867317"/>
    <w:rsid w:val="008674BF"/>
    <w:rsid w:val="008700EE"/>
    <w:rsid w:val="008708C2"/>
    <w:rsid w:val="00870C78"/>
    <w:rsid w:val="008713A1"/>
    <w:rsid w:val="00871C49"/>
    <w:rsid w:val="00873053"/>
    <w:rsid w:val="008732FF"/>
    <w:rsid w:val="00873602"/>
    <w:rsid w:val="00873BE4"/>
    <w:rsid w:val="00873E21"/>
    <w:rsid w:val="00875139"/>
    <w:rsid w:val="008754AB"/>
    <w:rsid w:val="00876049"/>
    <w:rsid w:val="00876901"/>
    <w:rsid w:val="0088060C"/>
    <w:rsid w:val="00880ACB"/>
    <w:rsid w:val="00880D5F"/>
    <w:rsid w:val="00882525"/>
    <w:rsid w:val="00883839"/>
    <w:rsid w:val="00884C18"/>
    <w:rsid w:val="008850ED"/>
    <w:rsid w:val="008857D6"/>
    <w:rsid w:val="0088605A"/>
    <w:rsid w:val="0088620C"/>
    <w:rsid w:val="008874C2"/>
    <w:rsid w:val="008876F8"/>
    <w:rsid w:val="00891CA6"/>
    <w:rsid w:val="0089236A"/>
    <w:rsid w:val="00893576"/>
    <w:rsid w:val="00893E73"/>
    <w:rsid w:val="008A0CEC"/>
    <w:rsid w:val="008A0FF7"/>
    <w:rsid w:val="008A11DC"/>
    <w:rsid w:val="008A1622"/>
    <w:rsid w:val="008A200F"/>
    <w:rsid w:val="008A29C0"/>
    <w:rsid w:val="008A322D"/>
    <w:rsid w:val="008A4916"/>
    <w:rsid w:val="008A522E"/>
    <w:rsid w:val="008A5BD6"/>
    <w:rsid w:val="008A6073"/>
    <w:rsid w:val="008A64E6"/>
    <w:rsid w:val="008A66A8"/>
    <w:rsid w:val="008B0035"/>
    <w:rsid w:val="008B02DC"/>
    <w:rsid w:val="008B1502"/>
    <w:rsid w:val="008B20EB"/>
    <w:rsid w:val="008B2426"/>
    <w:rsid w:val="008B2761"/>
    <w:rsid w:val="008B2AA6"/>
    <w:rsid w:val="008B36AB"/>
    <w:rsid w:val="008B3FB7"/>
    <w:rsid w:val="008B4653"/>
    <w:rsid w:val="008B48B7"/>
    <w:rsid w:val="008B4C2D"/>
    <w:rsid w:val="008B57CE"/>
    <w:rsid w:val="008B5F4F"/>
    <w:rsid w:val="008B68B6"/>
    <w:rsid w:val="008B6C49"/>
    <w:rsid w:val="008B6EB1"/>
    <w:rsid w:val="008B70C1"/>
    <w:rsid w:val="008C0BCC"/>
    <w:rsid w:val="008C1C19"/>
    <w:rsid w:val="008C1DAB"/>
    <w:rsid w:val="008C26DE"/>
    <w:rsid w:val="008C35D9"/>
    <w:rsid w:val="008C4EF4"/>
    <w:rsid w:val="008C54EF"/>
    <w:rsid w:val="008C568F"/>
    <w:rsid w:val="008C7B17"/>
    <w:rsid w:val="008C7CE9"/>
    <w:rsid w:val="008D111A"/>
    <w:rsid w:val="008D1305"/>
    <w:rsid w:val="008D2225"/>
    <w:rsid w:val="008D2276"/>
    <w:rsid w:val="008D33E1"/>
    <w:rsid w:val="008D3BFE"/>
    <w:rsid w:val="008D4752"/>
    <w:rsid w:val="008D605A"/>
    <w:rsid w:val="008D656D"/>
    <w:rsid w:val="008D78B1"/>
    <w:rsid w:val="008E13C9"/>
    <w:rsid w:val="008E1D07"/>
    <w:rsid w:val="008E271C"/>
    <w:rsid w:val="008E418E"/>
    <w:rsid w:val="008E5BC6"/>
    <w:rsid w:val="008E6A25"/>
    <w:rsid w:val="008F0976"/>
    <w:rsid w:val="008F0E6F"/>
    <w:rsid w:val="008F2486"/>
    <w:rsid w:val="008F29DB"/>
    <w:rsid w:val="008F31DA"/>
    <w:rsid w:val="008F3898"/>
    <w:rsid w:val="008F3C1F"/>
    <w:rsid w:val="008F41A5"/>
    <w:rsid w:val="008F4CA8"/>
    <w:rsid w:val="008F5193"/>
    <w:rsid w:val="008F560D"/>
    <w:rsid w:val="008F5D07"/>
    <w:rsid w:val="008F6561"/>
    <w:rsid w:val="009003C3"/>
    <w:rsid w:val="0090119B"/>
    <w:rsid w:val="009013A7"/>
    <w:rsid w:val="009017A6"/>
    <w:rsid w:val="009017FB"/>
    <w:rsid w:val="009017FC"/>
    <w:rsid w:val="009018EF"/>
    <w:rsid w:val="00901B10"/>
    <w:rsid w:val="00901F93"/>
    <w:rsid w:val="00902822"/>
    <w:rsid w:val="00902D75"/>
    <w:rsid w:val="0090419B"/>
    <w:rsid w:val="0090441B"/>
    <w:rsid w:val="00904806"/>
    <w:rsid w:val="0090506B"/>
    <w:rsid w:val="009050C9"/>
    <w:rsid w:val="00905113"/>
    <w:rsid w:val="00905872"/>
    <w:rsid w:val="00905F84"/>
    <w:rsid w:val="00906402"/>
    <w:rsid w:val="009066FC"/>
    <w:rsid w:val="00906E67"/>
    <w:rsid w:val="00907948"/>
    <w:rsid w:val="009110BA"/>
    <w:rsid w:val="00911CC0"/>
    <w:rsid w:val="00912238"/>
    <w:rsid w:val="0091243F"/>
    <w:rsid w:val="009140A3"/>
    <w:rsid w:val="009144A2"/>
    <w:rsid w:val="0091509F"/>
    <w:rsid w:val="0091510C"/>
    <w:rsid w:val="009159B6"/>
    <w:rsid w:val="00915A34"/>
    <w:rsid w:val="009217CC"/>
    <w:rsid w:val="00921CDB"/>
    <w:rsid w:val="00921F42"/>
    <w:rsid w:val="00922B7E"/>
    <w:rsid w:val="00923670"/>
    <w:rsid w:val="00923986"/>
    <w:rsid w:val="00923C70"/>
    <w:rsid w:val="0092471F"/>
    <w:rsid w:val="009259AC"/>
    <w:rsid w:val="00925CC4"/>
    <w:rsid w:val="00925D36"/>
    <w:rsid w:val="00925F07"/>
    <w:rsid w:val="00926F38"/>
    <w:rsid w:val="00927554"/>
    <w:rsid w:val="009305A6"/>
    <w:rsid w:val="00930B05"/>
    <w:rsid w:val="00930B6A"/>
    <w:rsid w:val="00931B74"/>
    <w:rsid w:val="00931D9B"/>
    <w:rsid w:val="00932F62"/>
    <w:rsid w:val="00933CBA"/>
    <w:rsid w:val="00934301"/>
    <w:rsid w:val="00934323"/>
    <w:rsid w:val="00934F7C"/>
    <w:rsid w:val="00935B5B"/>
    <w:rsid w:val="00935D16"/>
    <w:rsid w:val="00936C5C"/>
    <w:rsid w:val="00936CD1"/>
    <w:rsid w:val="00936DA1"/>
    <w:rsid w:val="00937382"/>
    <w:rsid w:val="0094111D"/>
    <w:rsid w:val="00941747"/>
    <w:rsid w:val="00941EFB"/>
    <w:rsid w:val="00942D2F"/>
    <w:rsid w:val="0094339A"/>
    <w:rsid w:val="00943D7D"/>
    <w:rsid w:val="009440AA"/>
    <w:rsid w:val="009442C8"/>
    <w:rsid w:val="00944CEF"/>
    <w:rsid w:val="00945D97"/>
    <w:rsid w:val="0094651C"/>
    <w:rsid w:val="009468EE"/>
    <w:rsid w:val="00947706"/>
    <w:rsid w:val="00947AFB"/>
    <w:rsid w:val="0095012A"/>
    <w:rsid w:val="009502AF"/>
    <w:rsid w:val="0095077D"/>
    <w:rsid w:val="00951802"/>
    <w:rsid w:val="00951C89"/>
    <w:rsid w:val="00951D7D"/>
    <w:rsid w:val="0095237A"/>
    <w:rsid w:val="00952402"/>
    <w:rsid w:val="0095263E"/>
    <w:rsid w:val="0095470B"/>
    <w:rsid w:val="009547DB"/>
    <w:rsid w:val="00954EFC"/>
    <w:rsid w:val="00956634"/>
    <w:rsid w:val="00956F53"/>
    <w:rsid w:val="00957502"/>
    <w:rsid w:val="0095763B"/>
    <w:rsid w:val="0095774D"/>
    <w:rsid w:val="00957ACB"/>
    <w:rsid w:val="00961500"/>
    <w:rsid w:val="009630C7"/>
    <w:rsid w:val="00964B4D"/>
    <w:rsid w:val="00965274"/>
    <w:rsid w:val="00965588"/>
    <w:rsid w:val="009657BB"/>
    <w:rsid w:val="00966280"/>
    <w:rsid w:val="009665E6"/>
    <w:rsid w:val="0096665A"/>
    <w:rsid w:val="00966D25"/>
    <w:rsid w:val="0097014E"/>
    <w:rsid w:val="00970718"/>
    <w:rsid w:val="009713F5"/>
    <w:rsid w:val="00971A0E"/>
    <w:rsid w:val="00971C73"/>
    <w:rsid w:val="00971F99"/>
    <w:rsid w:val="009728F7"/>
    <w:rsid w:val="00972B55"/>
    <w:rsid w:val="00973B81"/>
    <w:rsid w:val="009743B7"/>
    <w:rsid w:val="0097455F"/>
    <w:rsid w:val="00975025"/>
    <w:rsid w:val="00975AAB"/>
    <w:rsid w:val="00976661"/>
    <w:rsid w:val="0097666C"/>
    <w:rsid w:val="00977A19"/>
    <w:rsid w:val="009802CC"/>
    <w:rsid w:val="009810CB"/>
    <w:rsid w:val="009811E1"/>
    <w:rsid w:val="00981385"/>
    <w:rsid w:val="009818F3"/>
    <w:rsid w:val="0098209A"/>
    <w:rsid w:val="0098228B"/>
    <w:rsid w:val="009824D2"/>
    <w:rsid w:val="00982818"/>
    <w:rsid w:val="009828DA"/>
    <w:rsid w:val="009832B5"/>
    <w:rsid w:val="009837EA"/>
    <w:rsid w:val="00984B47"/>
    <w:rsid w:val="00985BAB"/>
    <w:rsid w:val="00986B3F"/>
    <w:rsid w:val="00986F46"/>
    <w:rsid w:val="00987D96"/>
    <w:rsid w:val="00990716"/>
    <w:rsid w:val="00990919"/>
    <w:rsid w:val="00990D1F"/>
    <w:rsid w:val="00990ED9"/>
    <w:rsid w:val="009918EB"/>
    <w:rsid w:val="00991CD3"/>
    <w:rsid w:val="00992B78"/>
    <w:rsid w:val="00992E68"/>
    <w:rsid w:val="00994859"/>
    <w:rsid w:val="009952D1"/>
    <w:rsid w:val="009957D5"/>
    <w:rsid w:val="00995874"/>
    <w:rsid w:val="00995957"/>
    <w:rsid w:val="0099604E"/>
    <w:rsid w:val="009976D2"/>
    <w:rsid w:val="009A0EA3"/>
    <w:rsid w:val="009A1162"/>
    <w:rsid w:val="009A16D7"/>
    <w:rsid w:val="009A340E"/>
    <w:rsid w:val="009A567A"/>
    <w:rsid w:val="009A5789"/>
    <w:rsid w:val="009B030E"/>
    <w:rsid w:val="009B0419"/>
    <w:rsid w:val="009B1A57"/>
    <w:rsid w:val="009B1B5F"/>
    <w:rsid w:val="009B1D67"/>
    <w:rsid w:val="009B2014"/>
    <w:rsid w:val="009B2AF7"/>
    <w:rsid w:val="009B3B34"/>
    <w:rsid w:val="009B3DA5"/>
    <w:rsid w:val="009B4220"/>
    <w:rsid w:val="009B4FF4"/>
    <w:rsid w:val="009B6673"/>
    <w:rsid w:val="009B6DA5"/>
    <w:rsid w:val="009B7196"/>
    <w:rsid w:val="009B7716"/>
    <w:rsid w:val="009B7BA4"/>
    <w:rsid w:val="009B7BC3"/>
    <w:rsid w:val="009C1495"/>
    <w:rsid w:val="009C191B"/>
    <w:rsid w:val="009C1E69"/>
    <w:rsid w:val="009C23FE"/>
    <w:rsid w:val="009C2BD6"/>
    <w:rsid w:val="009C3169"/>
    <w:rsid w:val="009C52C4"/>
    <w:rsid w:val="009C5358"/>
    <w:rsid w:val="009C5908"/>
    <w:rsid w:val="009C5952"/>
    <w:rsid w:val="009C5EE4"/>
    <w:rsid w:val="009C7011"/>
    <w:rsid w:val="009C750A"/>
    <w:rsid w:val="009D0118"/>
    <w:rsid w:val="009D0944"/>
    <w:rsid w:val="009D18D5"/>
    <w:rsid w:val="009D2035"/>
    <w:rsid w:val="009D24CE"/>
    <w:rsid w:val="009D2D2F"/>
    <w:rsid w:val="009D3014"/>
    <w:rsid w:val="009D304F"/>
    <w:rsid w:val="009D41EB"/>
    <w:rsid w:val="009D503C"/>
    <w:rsid w:val="009D611F"/>
    <w:rsid w:val="009D78C3"/>
    <w:rsid w:val="009E1F32"/>
    <w:rsid w:val="009E1F98"/>
    <w:rsid w:val="009E2B0D"/>
    <w:rsid w:val="009E342E"/>
    <w:rsid w:val="009E3BEC"/>
    <w:rsid w:val="009E3CBC"/>
    <w:rsid w:val="009E3F9C"/>
    <w:rsid w:val="009E49FD"/>
    <w:rsid w:val="009E4B9D"/>
    <w:rsid w:val="009E5DF3"/>
    <w:rsid w:val="009E776C"/>
    <w:rsid w:val="009E78F0"/>
    <w:rsid w:val="009F019C"/>
    <w:rsid w:val="009F026B"/>
    <w:rsid w:val="009F0ECD"/>
    <w:rsid w:val="009F1385"/>
    <w:rsid w:val="009F1EA7"/>
    <w:rsid w:val="009F2A85"/>
    <w:rsid w:val="009F36DB"/>
    <w:rsid w:val="009F4A9C"/>
    <w:rsid w:val="009F4C24"/>
    <w:rsid w:val="009F5E42"/>
    <w:rsid w:val="009F611F"/>
    <w:rsid w:val="009F621F"/>
    <w:rsid w:val="009F7ABC"/>
    <w:rsid w:val="00A00401"/>
    <w:rsid w:val="00A004FC"/>
    <w:rsid w:val="00A0134D"/>
    <w:rsid w:val="00A0169C"/>
    <w:rsid w:val="00A0388B"/>
    <w:rsid w:val="00A042B3"/>
    <w:rsid w:val="00A0584C"/>
    <w:rsid w:val="00A06635"/>
    <w:rsid w:val="00A117D4"/>
    <w:rsid w:val="00A11A03"/>
    <w:rsid w:val="00A11D07"/>
    <w:rsid w:val="00A129C6"/>
    <w:rsid w:val="00A13B48"/>
    <w:rsid w:val="00A14BFB"/>
    <w:rsid w:val="00A1582D"/>
    <w:rsid w:val="00A163E0"/>
    <w:rsid w:val="00A16436"/>
    <w:rsid w:val="00A16B12"/>
    <w:rsid w:val="00A16D07"/>
    <w:rsid w:val="00A1726E"/>
    <w:rsid w:val="00A178B4"/>
    <w:rsid w:val="00A204CF"/>
    <w:rsid w:val="00A20665"/>
    <w:rsid w:val="00A21198"/>
    <w:rsid w:val="00A2140E"/>
    <w:rsid w:val="00A21570"/>
    <w:rsid w:val="00A216CB"/>
    <w:rsid w:val="00A21B76"/>
    <w:rsid w:val="00A21FC4"/>
    <w:rsid w:val="00A228C9"/>
    <w:rsid w:val="00A22993"/>
    <w:rsid w:val="00A23D49"/>
    <w:rsid w:val="00A240DD"/>
    <w:rsid w:val="00A247EA"/>
    <w:rsid w:val="00A25E69"/>
    <w:rsid w:val="00A26833"/>
    <w:rsid w:val="00A26E3E"/>
    <w:rsid w:val="00A27004"/>
    <w:rsid w:val="00A3029A"/>
    <w:rsid w:val="00A30C29"/>
    <w:rsid w:val="00A32B5F"/>
    <w:rsid w:val="00A3410C"/>
    <w:rsid w:val="00A34861"/>
    <w:rsid w:val="00A34897"/>
    <w:rsid w:val="00A34DD6"/>
    <w:rsid w:val="00A35422"/>
    <w:rsid w:val="00A35C26"/>
    <w:rsid w:val="00A366E0"/>
    <w:rsid w:val="00A36819"/>
    <w:rsid w:val="00A36989"/>
    <w:rsid w:val="00A3739F"/>
    <w:rsid w:val="00A37509"/>
    <w:rsid w:val="00A377E7"/>
    <w:rsid w:val="00A4056B"/>
    <w:rsid w:val="00A40F51"/>
    <w:rsid w:val="00A411DF"/>
    <w:rsid w:val="00A4139E"/>
    <w:rsid w:val="00A41B9F"/>
    <w:rsid w:val="00A43628"/>
    <w:rsid w:val="00A43D7E"/>
    <w:rsid w:val="00A44EC0"/>
    <w:rsid w:val="00A4656C"/>
    <w:rsid w:val="00A46977"/>
    <w:rsid w:val="00A47C74"/>
    <w:rsid w:val="00A50920"/>
    <w:rsid w:val="00A50DF5"/>
    <w:rsid w:val="00A512D2"/>
    <w:rsid w:val="00A525AA"/>
    <w:rsid w:val="00A54192"/>
    <w:rsid w:val="00A548B3"/>
    <w:rsid w:val="00A54989"/>
    <w:rsid w:val="00A54E5B"/>
    <w:rsid w:val="00A54EE3"/>
    <w:rsid w:val="00A57C31"/>
    <w:rsid w:val="00A57D7B"/>
    <w:rsid w:val="00A57F8F"/>
    <w:rsid w:val="00A6035E"/>
    <w:rsid w:val="00A6047F"/>
    <w:rsid w:val="00A6144C"/>
    <w:rsid w:val="00A61B61"/>
    <w:rsid w:val="00A622CB"/>
    <w:rsid w:val="00A6276B"/>
    <w:rsid w:val="00A63120"/>
    <w:rsid w:val="00A636A4"/>
    <w:rsid w:val="00A6400C"/>
    <w:rsid w:val="00A64D52"/>
    <w:rsid w:val="00A65015"/>
    <w:rsid w:val="00A6572F"/>
    <w:rsid w:val="00A66617"/>
    <w:rsid w:val="00A66864"/>
    <w:rsid w:val="00A671F8"/>
    <w:rsid w:val="00A673A4"/>
    <w:rsid w:val="00A67B02"/>
    <w:rsid w:val="00A67C22"/>
    <w:rsid w:val="00A7060A"/>
    <w:rsid w:val="00A724AE"/>
    <w:rsid w:val="00A73329"/>
    <w:rsid w:val="00A73A13"/>
    <w:rsid w:val="00A74BD3"/>
    <w:rsid w:val="00A75483"/>
    <w:rsid w:val="00A75AD3"/>
    <w:rsid w:val="00A75C70"/>
    <w:rsid w:val="00A75CD8"/>
    <w:rsid w:val="00A75D42"/>
    <w:rsid w:val="00A768E8"/>
    <w:rsid w:val="00A773B7"/>
    <w:rsid w:val="00A800DC"/>
    <w:rsid w:val="00A80E9E"/>
    <w:rsid w:val="00A8135C"/>
    <w:rsid w:val="00A813C9"/>
    <w:rsid w:val="00A8158D"/>
    <w:rsid w:val="00A816F9"/>
    <w:rsid w:val="00A82359"/>
    <w:rsid w:val="00A8396B"/>
    <w:rsid w:val="00A83B21"/>
    <w:rsid w:val="00A83FF8"/>
    <w:rsid w:val="00A860EC"/>
    <w:rsid w:val="00A865D2"/>
    <w:rsid w:val="00A86C29"/>
    <w:rsid w:val="00A86F85"/>
    <w:rsid w:val="00A87B75"/>
    <w:rsid w:val="00A87CAC"/>
    <w:rsid w:val="00A87F8D"/>
    <w:rsid w:val="00A9065C"/>
    <w:rsid w:val="00A91329"/>
    <w:rsid w:val="00A91599"/>
    <w:rsid w:val="00A91944"/>
    <w:rsid w:val="00A91955"/>
    <w:rsid w:val="00A92467"/>
    <w:rsid w:val="00A92F6A"/>
    <w:rsid w:val="00A94A15"/>
    <w:rsid w:val="00A94C20"/>
    <w:rsid w:val="00A9565C"/>
    <w:rsid w:val="00A95F98"/>
    <w:rsid w:val="00A9628A"/>
    <w:rsid w:val="00A9715A"/>
    <w:rsid w:val="00A974F9"/>
    <w:rsid w:val="00A978A2"/>
    <w:rsid w:val="00AA0066"/>
    <w:rsid w:val="00AA0257"/>
    <w:rsid w:val="00AA227F"/>
    <w:rsid w:val="00AA2726"/>
    <w:rsid w:val="00AA28C8"/>
    <w:rsid w:val="00AA3BC7"/>
    <w:rsid w:val="00AA54FD"/>
    <w:rsid w:val="00AA72BD"/>
    <w:rsid w:val="00AA754A"/>
    <w:rsid w:val="00AA7B3B"/>
    <w:rsid w:val="00AB01FF"/>
    <w:rsid w:val="00AB0501"/>
    <w:rsid w:val="00AB099E"/>
    <w:rsid w:val="00AB42FD"/>
    <w:rsid w:val="00AB4328"/>
    <w:rsid w:val="00AB4717"/>
    <w:rsid w:val="00AB53D0"/>
    <w:rsid w:val="00AB5BD7"/>
    <w:rsid w:val="00AB5D6D"/>
    <w:rsid w:val="00AB619E"/>
    <w:rsid w:val="00AB76F5"/>
    <w:rsid w:val="00AC151F"/>
    <w:rsid w:val="00AC1572"/>
    <w:rsid w:val="00AC1BE0"/>
    <w:rsid w:val="00AC4DE0"/>
    <w:rsid w:val="00AC5163"/>
    <w:rsid w:val="00AC568A"/>
    <w:rsid w:val="00AC5C83"/>
    <w:rsid w:val="00AC6A2C"/>
    <w:rsid w:val="00AC75EA"/>
    <w:rsid w:val="00AC7E5C"/>
    <w:rsid w:val="00AD1CE7"/>
    <w:rsid w:val="00AD20D2"/>
    <w:rsid w:val="00AD2103"/>
    <w:rsid w:val="00AD2ADF"/>
    <w:rsid w:val="00AD2F59"/>
    <w:rsid w:val="00AD366C"/>
    <w:rsid w:val="00AD5FAB"/>
    <w:rsid w:val="00AD7515"/>
    <w:rsid w:val="00AD76EA"/>
    <w:rsid w:val="00AD7AD9"/>
    <w:rsid w:val="00AE0A1C"/>
    <w:rsid w:val="00AE0A2E"/>
    <w:rsid w:val="00AE0C2A"/>
    <w:rsid w:val="00AE131D"/>
    <w:rsid w:val="00AE354C"/>
    <w:rsid w:val="00AE3A10"/>
    <w:rsid w:val="00AE3B56"/>
    <w:rsid w:val="00AE3F0C"/>
    <w:rsid w:val="00AE4913"/>
    <w:rsid w:val="00AE4DB7"/>
    <w:rsid w:val="00AE5690"/>
    <w:rsid w:val="00AE5B3E"/>
    <w:rsid w:val="00AE6466"/>
    <w:rsid w:val="00AE682D"/>
    <w:rsid w:val="00AE722A"/>
    <w:rsid w:val="00AE76BC"/>
    <w:rsid w:val="00AE774D"/>
    <w:rsid w:val="00AE7E61"/>
    <w:rsid w:val="00AF0195"/>
    <w:rsid w:val="00AF026E"/>
    <w:rsid w:val="00AF13C0"/>
    <w:rsid w:val="00AF3B01"/>
    <w:rsid w:val="00AF41F6"/>
    <w:rsid w:val="00AF4B07"/>
    <w:rsid w:val="00AF4C38"/>
    <w:rsid w:val="00AF4FD3"/>
    <w:rsid w:val="00AF59AD"/>
    <w:rsid w:val="00AF6186"/>
    <w:rsid w:val="00AF62F1"/>
    <w:rsid w:val="00AF7365"/>
    <w:rsid w:val="00AF7A3A"/>
    <w:rsid w:val="00B0748A"/>
    <w:rsid w:val="00B076A6"/>
    <w:rsid w:val="00B10789"/>
    <w:rsid w:val="00B10AB6"/>
    <w:rsid w:val="00B11E40"/>
    <w:rsid w:val="00B13121"/>
    <w:rsid w:val="00B13437"/>
    <w:rsid w:val="00B14157"/>
    <w:rsid w:val="00B160DB"/>
    <w:rsid w:val="00B16421"/>
    <w:rsid w:val="00B1774B"/>
    <w:rsid w:val="00B17E47"/>
    <w:rsid w:val="00B20836"/>
    <w:rsid w:val="00B20D88"/>
    <w:rsid w:val="00B235BB"/>
    <w:rsid w:val="00B23DBF"/>
    <w:rsid w:val="00B24004"/>
    <w:rsid w:val="00B25D01"/>
    <w:rsid w:val="00B26544"/>
    <w:rsid w:val="00B26752"/>
    <w:rsid w:val="00B27A44"/>
    <w:rsid w:val="00B30BBF"/>
    <w:rsid w:val="00B31FFE"/>
    <w:rsid w:val="00B32003"/>
    <w:rsid w:val="00B325B5"/>
    <w:rsid w:val="00B33C03"/>
    <w:rsid w:val="00B33C7B"/>
    <w:rsid w:val="00B347E5"/>
    <w:rsid w:val="00B35931"/>
    <w:rsid w:val="00B4227D"/>
    <w:rsid w:val="00B4295B"/>
    <w:rsid w:val="00B42E89"/>
    <w:rsid w:val="00B43FDD"/>
    <w:rsid w:val="00B44E56"/>
    <w:rsid w:val="00B45B62"/>
    <w:rsid w:val="00B45CC9"/>
    <w:rsid w:val="00B46030"/>
    <w:rsid w:val="00B4627A"/>
    <w:rsid w:val="00B46543"/>
    <w:rsid w:val="00B469E8"/>
    <w:rsid w:val="00B47D33"/>
    <w:rsid w:val="00B503C7"/>
    <w:rsid w:val="00B52B19"/>
    <w:rsid w:val="00B52BE0"/>
    <w:rsid w:val="00B54133"/>
    <w:rsid w:val="00B55F60"/>
    <w:rsid w:val="00B56B06"/>
    <w:rsid w:val="00B577BB"/>
    <w:rsid w:val="00B57C5A"/>
    <w:rsid w:val="00B57E8F"/>
    <w:rsid w:val="00B57EFE"/>
    <w:rsid w:val="00B61988"/>
    <w:rsid w:val="00B61DE8"/>
    <w:rsid w:val="00B61EC0"/>
    <w:rsid w:val="00B62179"/>
    <w:rsid w:val="00B62479"/>
    <w:rsid w:val="00B624F7"/>
    <w:rsid w:val="00B6260B"/>
    <w:rsid w:val="00B62A94"/>
    <w:rsid w:val="00B63A40"/>
    <w:rsid w:val="00B63BC4"/>
    <w:rsid w:val="00B6423D"/>
    <w:rsid w:val="00B655EE"/>
    <w:rsid w:val="00B65B96"/>
    <w:rsid w:val="00B6649B"/>
    <w:rsid w:val="00B7018C"/>
    <w:rsid w:val="00B701ED"/>
    <w:rsid w:val="00B70DFB"/>
    <w:rsid w:val="00B71560"/>
    <w:rsid w:val="00B71857"/>
    <w:rsid w:val="00B71B3A"/>
    <w:rsid w:val="00B71C9F"/>
    <w:rsid w:val="00B71DE8"/>
    <w:rsid w:val="00B726EE"/>
    <w:rsid w:val="00B72ED7"/>
    <w:rsid w:val="00B72F9C"/>
    <w:rsid w:val="00B73581"/>
    <w:rsid w:val="00B73870"/>
    <w:rsid w:val="00B75A2C"/>
    <w:rsid w:val="00B7603D"/>
    <w:rsid w:val="00B7629B"/>
    <w:rsid w:val="00B762BA"/>
    <w:rsid w:val="00B762FA"/>
    <w:rsid w:val="00B772DC"/>
    <w:rsid w:val="00B7773A"/>
    <w:rsid w:val="00B8086C"/>
    <w:rsid w:val="00B80A47"/>
    <w:rsid w:val="00B81009"/>
    <w:rsid w:val="00B82B76"/>
    <w:rsid w:val="00B8357A"/>
    <w:rsid w:val="00B8384B"/>
    <w:rsid w:val="00B838BA"/>
    <w:rsid w:val="00B844E2"/>
    <w:rsid w:val="00B84564"/>
    <w:rsid w:val="00B84F10"/>
    <w:rsid w:val="00B853CF"/>
    <w:rsid w:val="00B856AC"/>
    <w:rsid w:val="00B85C51"/>
    <w:rsid w:val="00B861B4"/>
    <w:rsid w:val="00B8689D"/>
    <w:rsid w:val="00B86BE4"/>
    <w:rsid w:val="00B86D08"/>
    <w:rsid w:val="00B86DFE"/>
    <w:rsid w:val="00B8708A"/>
    <w:rsid w:val="00B90990"/>
    <w:rsid w:val="00B914A7"/>
    <w:rsid w:val="00B91EF9"/>
    <w:rsid w:val="00B922FF"/>
    <w:rsid w:val="00B925A3"/>
    <w:rsid w:val="00B9268A"/>
    <w:rsid w:val="00B9281E"/>
    <w:rsid w:val="00B9297E"/>
    <w:rsid w:val="00B93925"/>
    <w:rsid w:val="00B93A74"/>
    <w:rsid w:val="00B93BBA"/>
    <w:rsid w:val="00B941B5"/>
    <w:rsid w:val="00B947D6"/>
    <w:rsid w:val="00B94F2A"/>
    <w:rsid w:val="00B950BF"/>
    <w:rsid w:val="00B95187"/>
    <w:rsid w:val="00B95755"/>
    <w:rsid w:val="00B9756E"/>
    <w:rsid w:val="00BA0042"/>
    <w:rsid w:val="00BA0D7F"/>
    <w:rsid w:val="00BA0E18"/>
    <w:rsid w:val="00BA239B"/>
    <w:rsid w:val="00BA2834"/>
    <w:rsid w:val="00BA2D55"/>
    <w:rsid w:val="00BA2D75"/>
    <w:rsid w:val="00BA35B4"/>
    <w:rsid w:val="00BA4372"/>
    <w:rsid w:val="00BA45C4"/>
    <w:rsid w:val="00BA5F09"/>
    <w:rsid w:val="00BA6348"/>
    <w:rsid w:val="00BA644D"/>
    <w:rsid w:val="00BA6BBC"/>
    <w:rsid w:val="00BA71B1"/>
    <w:rsid w:val="00BA7642"/>
    <w:rsid w:val="00BB0637"/>
    <w:rsid w:val="00BB20F2"/>
    <w:rsid w:val="00BB27D4"/>
    <w:rsid w:val="00BB2E65"/>
    <w:rsid w:val="00BB345F"/>
    <w:rsid w:val="00BB34D2"/>
    <w:rsid w:val="00BB4310"/>
    <w:rsid w:val="00BB5EB7"/>
    <w:rsid w:val="00BB6153"/>
    <w:rsid w:val="00BB68EA"/>
    <w:rsid w:val="00BB780E"/>
    <w:rsid w:val="00BC1434"/>
    <w:rsid w:val="00BC1C27"/>
    <w:rsid w:val="00BC1E3B"/>
    <w:rsid w:val="00BC21A8"/>
    <w:rsid w:val="00BC2D38"/>
    <w:rsid w:val="00BC36A6"/>
    <w:rsid w:val="00BC37E0"/>
    <w:rsid w:val="00BC45FA"/>
    <w:rsid w:val="00BC4911"/>
    <w:rsid w:val="00BC4A86"/>
    <w:rsid w:val="00BC5A8E"/>
    <w:rsid w:val="00BC5CA3"/>
    <w:rsid w:val="00BC6BBF"/>
    <w:rsid w:val="00BC6D1C"/>
    <w:rsid w:val="00BC6D73"/>
    <w:rsid w:val="00BD12AD"/>
    <w:rsid w:val="00BD149D"/>
    <w:rsid w:val="00BD153C"/>
    <w:rsid w:val="00BD1572"/>
    <w:rsid w:val="00BD17E1"/>
    <w:rsid w:val="00BD2D35"/>
    <w:rsid w:val="00BD2DD1"/>
    <w:rsid w:val="00BD3FD8"/>
    <w:rsid w:val="00BD4A5A"/>
    <w:rsid w:val="00BD694A"/>
    <w:rsid w:val="00BD69C1"/>
    <w:rsid w:val="00BD7490"/>
    <w:rsid w:val="00BD7AD8"/>
    <w:rsid w:val="00BE05DB"/>
    <w:rsid w:val="00BE0DEA"/>
    <w:rsid w:val="00BE14E3"/>
    <w:rsid w:val="00BE2383"/>
    <w:rsid w:val="00BE2DD8"/>
    <w:rsid w:val="00BE3753"/>
    <w:rsid w:val="00BE3774"/>
    <w:rsid w:val="00BE40F5"/>
    <w:rsid w:val="00BE41E5"/>
    <w:rsid w:val="00BE49EC"/>
    <w:rsid w:val="00BE4C0C"/>
    <w:rsid w:val="00BE51D2"/>
    <w:rsid w:val="00BE6160"/>
    <w:rsid w:val="00BE729A"/>
    <w:rsid w:val="00BE795F"/>
    <w:rsid w:val="00BF0404"/>
    <w:rsid w:val="00BF0D4D"/>
    <w:rsid w:val="00BF2CF5"/>
    <w:rsid w:val="00BF4109"/>
    <w:rsid w:val="00BF4CC3"/>
    <w:rsid w:val="00BF627E"/>
    <w:rsid w:val="00BF65FD"/>
    <w:rsid w:val="00BF772F"/>
    <w:rsid w:val="00BF78C7"/>
    <w:rsid w:val="00C005B2"/>
    <w:rsid w:val="00C00C07"/>
    <w:rsid w:val="00C01FE6"/>
    <w:rsid w:val="00C0207E"/>
    <w:rsid w:val="00C0272C"/>
    <w:rsid w:val="00C027BC"/>
    <w:rsid w:val="00C02DC5"/>
    <w:rsid w:val="00C03E38"/>
    <w:rsid w:val="00C044D6"/>
    <w:rsid w:val="00C048E6"/>
    <w:rsid w:val="00C049D2"/>
    <w:rsid w:val="00C050DE"/>
    <w:rsid w:val="00C054C7"/>
    <w:rsid w:val="00C057B5"/>
    <w:rsid w:val="00C063F5"/>
    <w:rsid w:val="00C0681A"/>
    <w:rsid w:val="00C06852"/>
    <w:rsid w:val="00C06B5D"/>
    <w:rsid w:val="00C07CC3"/>
    <w:rsid w:val="00C10EE9"/>
    <w:rsid w:val="00C124C8"/>
    <w:rsid w:val="00C133C5"/>
    <w:rsid w:val="00C13A33"/>
    <w:rsid w:val="00C14379"/>
    <w:rsid w:val="00C14823"/>
    <w:rsid w:val="00C149A6"/>
    <w:rsid w:val="00C149B3"/>
    <w:rsid w:val="00C15DEA"/>
    <w:rsid w:val="00C1635C"/>
    <w:rsid w:val="00C17AE0"/>
    <w:rsid w:val="00C20100"/>
    <w:rsid w:val="00C2046C"/>
    <w:rsid w:val="00C208E4"/>
    <w:rsid w:val="00C22017"/>
    <w:rsid w:val="00C22591"/>
    <w:rsid w:val="00C22687"/>
    <w:rsid w:val="00C22C0F"/>
    <w:rsid w:val="00C2389D"/>
    <w:rsid w:val="00C238CD"/>
    <w:rsid w:val="00C256CE"/>
    <w:rsid w:val="00C26746"/>
    <w:rsid w:val="00C26964"/>
    <w:rsid w:val="00C26DA5"/>
    <w:rsid w:val="00C30C1F"/>
    <w:rsid w:val="00C3144E"/>
    <w:rsid w:val="00C31FA0"/>
    <w:rsid w:val="00C32504"/>
    <w:rsid w:val="00C32E4D"/>
    <w:rsid w:val="00C3330C"/>
    <w:rsid w:val="00C333A0"/>
    <w:rsid w:val="00C3351A"/>
    <w:rsid w:val="00C34FDE"/>
    <w:rsid w:val="00C35163"/>
    <w:rsid w:val="00C35704"/>
    <w:rsid w:val="00C367E4"/>
    <w:rsid w:val="00C36A81"/>
    <w:rsid w:val="00C4089F"/>
    <w:rsid w:val="00C40C3B"/>
    <w:rsid w:val="00C41974"/>
    <w:rsid w:val="00C41ADF"/>
    <w:rsid w:val="00C41B79"/>
    <w:rsid w:val="00C4200C"/>
    <w:rsid w:val="00C42235"/>
    <w:rsid w:val="00C42880"/>
    <w:rsid w:val="00C433A7"/>
    <w:rsid w:val="00C442D4"/>
    <w:rsid w:val="00C44A47"/>
    <w:rsid w:val="00C44CF7"/>
    <w:rsid w:val="00C44FC7"/>
    <w:rsid w:val="00C46AA0"/>
    <w:rsid w:val="00C5007B"/>
    <w:rsid w:val="00C5076B"/>
    <w:rsid w:val="00C50F06"/>
    <w:rsid w:val="00C51A13"/>
    <w:rsid w:val="00C51B29"/>
    <w:rsid w:val="00C5217F"/>
    <w:rsid w:val="00C5266E"/>
    <w:rsid w:val="00C526D8"/>
    <w:rsid w:val="00C52754"/>
    <w:rsid w:val="00C53255"/>
    <w:rsid w:val="00C5380B"/>
    <w:rsid w:val="00C53F4A"/>
    <w:rsid w:val="00C53FDE"/>
    <w:rsid w:val="00C54125"/>
    <w:rsid w:val="00C54E2E"/>
    <w:rsid w:val="00C55675"/>
    <w:rsid w:val="00C55B54"/>
    <w:rsid w:val="00C55D1C"/>
    <w:rsid w:val="00C565BE"/>
    <w:rsid w:val="00C56984"/>
    <w:rsid w:val="00C57CD0"/>
    <w:rsid w:val="00C6098E"/>
    <w:rsid w:val="00C6152C"/>
    <w:rsid w:val="00C61EC0"/>
    <w:rsid w:val="00C62883"/>
    <w:rsid w:val="00C62A2D"/>
    <w:rsid w:val="00C6326A"/>
    <w:rsid w:val="00C640A3"/>
    <w:rsid w:val="00C6678E"/>
    <w:rsid w:val="00C67620"/>
    <w:rsid w:val="00C67F22"/>
    <w:rsid w:val="00C7048D"/>
    <w:rsid w:val="00C70CE4"/>
    <w:rsid w:val="00C7209E"/>
    <w:rsid w:val="00C72319"/>
    <w:rsid w:val="00C72561"/>
    <w:rsid w:val="00C73B3C"/>
    <w:rsid w:val="00C73CCB"/>
    <w:rsid w:val="00C73F93"/>
    <w:rsid w:val="00C74810"/>
    <w:rsid w:val="00C766BA"/>
    <w:rsid w:val="00C7671A"/>
    <w:rsid w:val="00C770B0"/>
    <w:rsid w:val="00C776EA"/>
    <w:rsid w:val="00C8130F"/>
    <w:rsid w:val="00C8182F"/>
    <w:rsid w:val="00C82E89"/>
    <w:rsid w:val="00C833D2"/>
    <w:rsid w:val="00C850CA"/>
    <w:rsid w:val="00C85214"/>
    <w:rsid w:val="00C856BE"/>
    <w:rsid w:val="00C85795"/>
    <w:rsid w:val="00C87179"/>
    <w:rsid w:val="00C873E9"/>
    <w:rsid w:val="00C90296"/>
    <w:rsid w:val="00C90346"/>
    <w:rsid w:val="00C90D68"/>
    <w:rsid w:val="00C919C1"/>
    <w:rsid w:val="00C939FE"/>
    <w:rsid w:val="00C96332"/>
    <w:rsid w:val="00C96422"/>
    <w:rsid w:val="00CA00CB"/>
    <w:rsid w:val="00CA0F59"/>
    <w:rsid w:val="00CA102B"/>
    <w:rsid w:val="00CA20EB"/>
    <w:rsid w:val="00CA2B64"/>
    <w:rsid w:val="00CA3A8B"/>
    <w:rsid w:val="00CA4397"/>
    <w:rsid w:val="00CA4904"/>
    <w:rsid w:val="00CA4BDA"/>
    <w:rsid w:val="00CA55D3"/>
    <w:rsid w:val="00CA5E2C"/>
    <w:rsid w:val="00CA72F7"/>
    <w:rsid w:val="00CA756D"/>
    <w:rsid w:val="00CB0305"/>
    <w:rsid w:val="00CB0736"/>
    <w:rsid w:val="00CB0A31"/>
    <w:rsid w:val="00CB1F66"/>
    <w:rsid w:val="00CB233C"/>
    <w:rsid w:val="00CB2718"/>
    <w:rsid w:val="00CB2951"/>
    <w:rsid w:val="00CB2B74"/>
    <w:rsid w:val="00CB443D"/>
    <w:rsid w:val="00CB4A44"/>
    <w:rsid w:val="00CB6DC9"/>
    <w:rsid w:val="00CB7256"/>
    <w:rsid w:val="00CC1065"/>
    <w:rsid w:val="00CC1753"/>
    <w:rsid w:val="00CC2335"/>
    <w:rsid w:val="00CC35A0"/>
    <w:rsid w:val="00CC3DA5"/>
    <w:rsid w:val="00CC4517"/>
    <w:rsid w:val="00CC58F7"/>
    <w:rsid w:val="00CC6B20"/>
    <w:rsid w:val="00CC7DB9"/>
    <w:rsid w:val="00CD16BA"/>
    <w:rsid w:val="00CD184B"/>
    <w:rsid w:val="00CD1F18"/>
    <w:rsid w:val="00CD2472"/>
    <w:rsid w:val="00CD282B"/>
    <w:rsid w:val="00CD3209"/>
    <w:rsid w:val="00CD3878"/>
    <w:rsid w:val="00CD3A29"/>
    <w:rsid w:val="00CD4064"/>
    <w:rsid w:val="00CD4764"/>
    <w:rsid w:val="00CD4C35"/>
    <w:rsid w:val="00CD55A8"/>
    <w:rsid w:val="00CD626D"/>
    <w:rsid w:val="00CD67BB"/>
    <w:rsid w:val="00CD6816"/>
    <w:rsid w:val="00CD7369"/>
    <w:rsid w:val="00CD75A9"/>
    <w:rsid w:val="00CD7E1F"/>
    <w:rsid w:val="00CE0214"/>
    <w:rsid w:val="00CE0B0E"/>
    <w:rsid w:val="00CE0F15"/>
    <w:rsid w:val="00CE1AB7"/>
    <w:rsid w:val="00CE2545"/>
    <w:rsid w:val="00CE275F"/>
    <w:rsid w:val="00CE2B78"/>
    <w:rsid w:val="00CE2E6D"/>
    <w:rsid w:val="00CE3831"/>
    <w:rsid w:val="00CE5666"/>
    <w:rsid w:val="00CE5BF0"/>
    <w:rsid w:val="00CE6F76"/>
    <w:rsid w:val="00CE71A6"/>
    <w:rsid w:val="00CE7336"/>
    <w:rsid w:val="00CE74EA"/>
    <w:rsid w:val="00CF21F3"/>
    <w:rsid w:val="00CF2880"/>
    <w:rsid w:val="00CF3006"/>
    <w:rsid w:val="00CF3DAA"/>
    <w:rsid w:val="00CF414C"/>
    <w:rsid w:val="00CF464C"/>
    <w:rsid w:val="00CF5292"/>
    <w:rsid w:val="00CF5950"/>
    <w:rsid w:val="00CF6107"/>
    <w:rsid w:val="00CF65F9"/>
    <w:rsid w:val="00CF6DC0"/>
    <w:rsid w:val="00CF7A71"/>
    <w:rsid w:val="00D008D3"/>
    <w:rsid w:val="00D008F9"/>
    <w:rsid w:val="00D00ABB"/>
    <w:rsid w:val="00D02943"/>
    <w:rsid w:val="00D02EEC"/>
    <w:rsid w:val="00D03551"/>
    <w:rsid w:val="00D035C1"/>
    <w:rsid w:val="00D0424A"/>
    <w:rsid w:val="00D0488A"/>
    <w:rsid w:val="00D04C1D"/>
    <w:rsid w:val="00D0570D"/>
    <w:rsid w:val="00D062CE"/>
    <w:rsid w:val="00D06A63"/>
    <w:rsid w:val="00D06B0B"/>
    <w:rsid w:val="00D06FE5"/>
    <w:rsid w:val="00D0780C"/>
    <w:rsid w:val="00D07E0E"/>
    <w:rsid w:val="00D1043D"/>
    <w:rsid w:val="00D10E25"/>
    <w:rsid w:val="00D1133F"/>
    <w:rsid w:val="00D113EC"/>
    <w:rsid w:val="00D11478"/>
    <w:rsid w:val="00D11716"/>
    <w:rsid w:val="00D11BE4"/>
    <w:rsid w:val="00D11D97"/>
    <w:rsid w:val="00D12582"/>
    <w:rsid w:val="00D12B91"/>
    <w:rsid w:val="00D13F76"/>
    <w:rsid w:val="00D14CAC"/>
    <w:rsid w:val="00D14D5C"/>
    <w:rsid w:val="00D15ED0"/>
    <w:rsid w:val="00D16882"/>
    <w:rsid w:val="00D173C3"/>
    <w:rsid w:val="00D174AB"/>
    <w:rsid w:val="00D176D2"/>
    <w:rsid w:val="00D177E5"/>
    <w:rsid w:val="00D17FD4"/>
    <w:rsid w:val="00D21B3E"/>
    <w:rsid w:val="00D21D11"/>
    <w:rsid w:val="00D21FED"/>
    <w:rsid w:val="00D238AF"/>
    <w:rsid w:val="00D23BA7"/>
    <w:rsid w:val="00D24251"/>
    <w:rsid w:val="00D24DF9"/>
    <w:rsid w:val="00D252BF"/>
    <w:rsid w:val="00D25B0D"/>
    <w:rsid w:val="00D262DD"/>
    <w:rsid w:val="00D266E7"/>
    <w:rsid w:val="00D26C27"/>
    <w:rsid w:val="00D27326"/>
    <w:rsid w:val="00D30921"/>
    <w:rsid w:val="00D30D3E"/>
    <w:rsid w:val="00D322ED"/>
    <w:rsid w:val="00D32518"/>
    <w:rsid w:val="00D343E2"/>
    <w:rsid w:val="00D3505D"/>
    <w:rsid w:val="00D356E4"/>
    <w:rsid w:val="00D357E1"/>
    <w:rsid w:val="00D35B3D"/>
    <w:rsid w:val="00D36119"/>
    <w:rsid w:val="00D361A2"/>
    <w:rsid w:val="00D3624B"/>
    <w:rsid w:val="00D368CE"/>
    <w:rsid w:val="00D36B70"/>
    <w:rsid w:val="00D36D6B"/>
    <w:rsid w:val="00D37D0A"/>
    <w:rsid w:val="00D40758"/>
    <w:rsid w:val="00D40FB2"/>
    <w:rsid w:val="00D4329E"/>
    <w:rsid w:val="00D43A2B"/>
    <w:rsid w:val="00D43EA8"/>
    <w:rsid w:val="00D44A57"/>
    <w:rsid w:val="00D44C2E"/>
    <w:rsid w:val="00D44D76"/>
    <w:rsid w:val="00D44DC8"/>
    <w:rsid w:val="00D44E87"/>
    <w:rsid w:val="00D44F24"/>
    <w:rsid w:val="00D45414"/>
    <w:rsid w:val="00D45CA7"/>
    <w:rsid w:val="00D460A5"/>
    <w:rsid w:val="00D46E8F"/>
    <w:rsid w:val="00D50224"/>
    <w:rsid w:val="00D51642"/>
    <w:rsid w:val="00D52D27"/>
    <w:rsid w:val="00D52E80"/>
    <w:rsid w:val="00D5551C"/>
    <w:rsid w:val="00D555F7"/>
    <w:rsid w:val="00D566BD"/>
    <w:rsid w:val="00D5692C"/>
    <w:rsid w:val="00D57A4D"/>
    <w:rsid w:val="00D6085E"/>
    <w:rsid w:val="00D60AA7"/>
    <w:rsid w:val="00D62888"/>
    <w:rsid w:val="00D62A0A"/>
    <w:rsid w:val="00D62A0D"/>
    <w:rsid w:val="00D62A9A"/>
    <w:rsid w:val="00D62F85"/>
    <w:rsid w:val="00D640E0"/>
    <w:rsid w:val="00D6435F"/>
    <w:rsid w:val="00D64D30"/>
    <w:rsid w:val="00D64F42"/>
    <w:rsid w:val="00D66544"/>
    <w:rsid w:val="00D66CB8"/>
    <w:rsid w:val="00D679A4"/>
    <w:rsid w:val="00D701F1"/>
    <w:rsid w:val="00D71671"/>
    <w:rsid w:val="00D71A29"/>
    <w:rsid w:val="00D727B3"/>
    <w:rsid w:val="00D73CF4"/>
    <w:rsid w:val="00D7476E"/>
    <w:rsid w:val="00D75E28"/>
    <w:rsid w:val="00D76548"/>
    <w:rsid w:val="00D7677B"/>
    <w:rsid w:val="00D76CA6"/>
    <w:rsid w:val="00D772C2"/>
    <w:rsid w:val="00D8008E"/>
    <w:rsid w:val="00D81154"/>
    <w:rsid w:val="00D81DC6"/>
    <w:rsid w:val="00D82C45"/>
    <w:rsid w:val="00D85E5E"/>
    <w:rsid w:val="00D86BDA"/>
    <w:rsid w:val="00D875D5"/>
    <w:rsid w:val="00D90263"/>
    <w:rsid w:val="00D908A8"/>
    <w:rsid w:val="00D90C24"/>
    <w:rsid w:val="00D91048"/>
    <w:rsid w:val="00D9164A"/>
    <w:rsid w:val="00D91CB6"/>
    <w:rsid w:val="00D91F88"/>
    <w:rsid w:val="00D922CD"/>
    <w:rsid w:val="00D92765"/>
    <w:rsid w:val="00D92CC6"/>
    <w:rsid w:val="00D9368E"/>
    <w:rsid w:val="00D938C0"/>
    <w:rsid w:val="00D938F6"/>
    <w:rsid w:val="00D94828"/>
    <w:rsid w:val="00D95083"/>
    <w:rsid w:val="00D95317"/>
    <w:rsid w:val="00D95ED4"/>
    <w:rsid w:val="00D962ED"/>
    <w:rsid w:val="00D975DA"/>
    <w:rsid w:val="00D97798"/>
    <w:rsid w:val="00D977B6"/>
    <w:rsid w:val="00D97B6E"/>
    <w:rsid w:val="00DA22C4"/>
    <w:rsid w:val="00DA2BAB"/>
    <w:rsid w:val="00DA33EA"/>
    <w:rsid w:val="00DA36C2"/>
    <w:rsid w:val="00DA3726"/>
    <w:rsid w:val="00DA396E"/>
    <w:rsid w:val="00DA444F"/>
    <w:rsid w:val="00DA47F6"/>
    <w:rsid w:val="00DA4A31"/>
    <w:rsid w:val="00DA5347"/>
    <w:rsid w:val="00DA5C37"/>
    <w:rsid w:val="00DA648C"/>
    <w:rsid w:val="00DA797A"/>
    <w:rsid w:val="00DA7B04"/>
    <w:rsid w:val="00DB1160"/>
    <w:rsid w:val="00DB26CF"/>
    <w:rsid w:val="00DB2E34"/>
    <w:rsid w:val="00DB36C2"/>
    <w:rsid w:val="00DB4E43"/>
    <w:rsid w:val="00DB58B3"/>
    <w:rsid w:val="00DB5EB2"/>
    <w:rsid w:val="00DB661E"/>
    <w:rsid w:val="00DC098D"/>
    <w:rsid w:val="00DC100C"/>
    <w:rsid w:val="00DC169B"/>
    <w:rsid w:val="00DC19F5"/>
    <w:rsid w:val="00DC22E0"/>
    <w:rsid w:val="00DC233E"/>
    <w:rsid w:val="00DC29FE"/>
    <w:rsid w:val="00DC2AB9"/>
    <w:rsid w:val="00DC3435"/>
    <w:rsid w:val="00DC348C"/>
    <w:rsid w:val="00DC42BA"/>
    <w:rsid w:val="00DC63F0"/>
    <w:rsid w:val="00DC6E1D"/>
    <w:rsid w:val="00DC7095"/>
    <w:rsid w:val="00DC722D"/>
    <w:rsid w:val="00DC7307"/>
    <w:rsid w:val="00DC7B4E"/>
    <w:rsid w:val="00DD0E72"/>
    <w:rsid w:val="00DD1836"/>
    <w:rsid w:val="00DD192C"/>
    <w:rsid w:val="00DD1BCC"/>
    <w:rsid w:val="00DD5249"/>
    <w:rsid w:val="00DD566B"/>
    <w:rsid w:val="00DD6152"/>
    <w:rsid w:val="00DD6EE5"/>
    <w:rsid w:val="00DD70E7"/>
    <w:rsid w:val="00DD73A2"/>
    <w:rsid w:val="00DD76F7"/>
    <w:rsid w:val="00DD7DD4"/>
    <w:rsid w:val="00DD7F5A"/>
    <w:rsid w:val="00DE0509"/>
    <w:rsid w:val="00DE15A4"/>
    <w:rsid w:val="00DE1627"/>
    <w:rsid w:val="00DE2695"/>
    <w:rsid w:val="00DE386C"/>
    <w:rsid w:val="00DE4D35"/>
    <w:rsid w:val="00DE570C"/>
    <w:rsid w:val="00DE72D9"/>
    <w:rsid w:val="00DE7382"/>
    <w:rsid w:val="00DF022D"/>
    <w:rsid w:val="00DF0447"/>
    <w:rsid w:val="00DF098B"/>
    <w:rsid w:val="00DF0B10"/>
    <w:rsid w:val="00DF0E38"/>
    <w:rsid w:val="00DF11C4"/>
    <w:rsid w:val="00DF18A4"/>
    <w:rsid w:val="00DF210C"/>
    <w:rsid w:val="00DF228F"/>
    <w:rsid w:val="00DF2A8B"/>
    <w:rsid w:val="00DF4B6A"/>
    <w:rsid w:val="00DF6D0F"/>
    <w:rsid w:val="00DF6D45"/>
    <w:rsid w:val="00DF6FFA"/>
    <w:rsid w:val="00DF79C3"/>
    <w:rsid w:val="00DF7ED1"/>
    <w:rsid w:val="00DF7EF7"/>
    <w:rsid w:val="00E02BE9"/>
    <w:rsid w:val="00E02C09"/>
    <w:rsid w:val="00E03186"/>
    <w:rsid w:val="00E03575"/>
    <w:rsid w:val="00E038F4"/>
    <w:rsid w:val="00E03BEE"/>
    <w:rsid w:val="00E0400B"/>
    <w:rsid w:val="00E04442"/>
    <w:rsid w:val="00E04D59"/>
    <w:rsid w:val="00E055A8"/>
    <w:rsid w:val="00E05907"/>
    <w:rsid w:val="00E06526"/>
    <w:rsid w:val="00E07BC4"/>
    <w:rsid w:val="00E07D90"/>
    <w:rsid w:val="00E07DA1"/>
    <w:rsid w:val="00E07DDE"/>
    <w:rsid w:val="00E112A8"/>
    <w:rsid w:val="00E12386"/>
    <w:rsid w:val="00E123CB"/>
    <w:rsid w:val="00E1274F"/>
    <w:rsid w:val="00E128F5"/>
    <w:rsid w:val="00E13DE7"/>
    <w:rsid w:val="00E14303"/>
    <w:rsid w:val="00E144FE"/>
    <w:rsid w:val="00E16359"/>
    <w:rsid w:val="00E16727"/>
    <w:rsid w:val="00E16D44"/>
    <w:rsid w:val="00E17FF8"/>
    <w:rsid w:val="00E2033B"/>
    <w:rsid w:val="00E20709"/>
    <w:rsid w:val="00E20DFF"/>
    <w:rsid w:val="00E20E13"/>
    <w:rsid w:val="00E21DBC"/>
    <w:rsid w:val="00E22BA9"/>
    <w:rsid w:val="00E2671B"/>
    <w:rsid w:val="00E268EC"/>
    <w:rsid w:val="00E275D7"/>
    <w:rsid w:val="00E27DBE"/>
    <w:rsid w:val="00E3123D"/>
    <w:rsid w:val="00E318D9"/>
    <w:rsid w:val="00E322B2"/>
    <w:rsid w:val="00E324EA"/>
    <w:rsid w:val="00E32927"/>
    <w:rsid w:val="00E32AB1"/>
    <w:rsid w:val="00E337F4"/>
    <w:rsid w:val="00E34786"/>
    <w:rsid w:val="00E35D0C"/>
    <w:rsid w:val="00E369C2"/>
    <w:rsid w:val="00E36C71"/>
    <w:rsid w:val="00E374FD"/>
    <w:rsid w:val="00E40404"/>
    <w:rsid w:val="00E421FA"/>
    <w:rsid w:val="00E424C7"/>
    <w:rsid w:val="00E425C3"/>
    <w:rsid w:val="00E4451F"/>
    <w:rsid w:val="00E459C6"/>
    <w:rsid w:val="00E46DFF"/>
    <w:rsid w:val="00E47410"/>
    <w:rsid w:val="00E47589"/>
    <w:rsid w:val="00E47F99"/>
    <w:rsid w:val="00E503AC"/>
    <w:rsid w:val="00E50562"/>
    <w:rsid w:val="00E511D0"/>
    <w:rsid w:val="00E52955"/>
    <w:rsid w:val="00E52AB3"/>
    <w:rsid w:val="00E54972"/>
    <w:rsid w:val="00E54EC0"/>
    <w:rsid w:val="00E5518C"/>
    <w:rsid w:val="00E5550D"/>
    <w:rsid w:val="00E55D0E"/>
    <w:rsid w:val="00E56BAF"/>
    <w:rsid w:val="00E60423"/>
    <w:rsid w:val="00E60960"/>
    <w:rsid w:val="00E61460"/>
    <w:rsid w:val="00E61A1F"/>
    <w:rsid w:val="00E62796"/>
    <w:rsid w:val="00E62DA6"/>
    <w:rsid w:val="00E64915"/>
    <w:rsid w:val="00E65947"/>
    <w:rsid w:val="00E661D4"/>
    <w:rsid w:val="00E67091"/>
    <w:rsid w:val="00E67460"/>
    <w:rsid w:val="00E676D7"/>
    <w:rsid w:val="00E678D6"/>
    <w:rsid w:val="00E70091"/>
    <w:rsid w:val="00E7091C"/>
    <w:rsid w:val="00E70A73"/>
    <w:rsid w:val="00E717DF"/>
    <w:rsid w:val="00E71BEF"/>
    <w:rsid w:val="00E71EFC"/>
    <w:rsid w:val="00E720F5"/>
    <w:rsid w:val="00E73122"/>
    <w:rsid w:val="00E737A0"/>
    <w:rsid w:val="00E7419B"/>
    <w:rsid w:val="00E74C4D"/>
    <w:rsid w:val="00E760A5"/>
    <w:rsid w:val="00E7688F"/>
    <w:rsid w:val="00E76D47"/>
    <w:rsid w:val="00E76FC1"/>
    <w:rsid w:val="00E816D7"/>
    <w:rsid w:val="00E8391A"/>
    <w:rsid w:val="00E849F7"/>
    <w:rsid w:val="00E84AA5"/>
    <w:rsid w:val="00E851EC"/>
    <w:rsid w:val="00E8537B"/>
    <w:rsid w:val="00E85C73"/>
    <w:rsid w:val="00E876CC"/>
    <w:rsid w:val="00E87F53"/>
    <w:rsid w:val="00E90302"/>
    <w:rsid w:val="00E903B2"/>
    <w:rsid w:val="00E9040A"/>
    <w:rsid w:val="00E92401"/>
    <w:rsid w:val="00E93540"/>
    <w:rsid w:val="00E93637"/>
    <w:rsid w:val="00E93759"/>
    <w:rsid w:val="00E94848"/>
    <w:rsid w:val="00E94EDF"/>
    <w:rsid w:val="00E963E7"/>
    <w:rsid w:val="00E97396"/>
    <w:rsid w:val="00E97A9F"/>
    <w:rsid w:val="00EA0EDA"/>
    <w:rsid w:val="00EA1467"/>
    <w:rsid w:val="00EA185E"/>
    <w:rsid w:val="00EA26F3"/>
    <w:rsid w:val="00EA3E1D"/>
    <w:rsid w:val="00EA451B"/>
    <w:rsid w:val="00EA572C"/>
    <w:rsid w:val="00EA592A"/>
    <w:rsid w:val="00EA5BAD"/>
    <w:rsid w:val="00EA600E"/>
    <w:rsid w:val="00EA7420"/>
    <w:rsid w:val="00EB14E4"/>
    <w:rsid w:val="00EB1507"/>
    <w:rsid w:val="00EB1546"/>
    <w:rsid w:val="00EB32A5"/>
    <w:rsid w:val="00EB34ED"/>
    <w:rsid w:val="00EB4A53"/>
    <w:rsid w:val="00EB6FE8"/>
    <w:rsid w:val="00EB743D"/>
    <w:rsid w:val="00EB7682"/>
    <w:rsid w:val="00EB7BE0"/>
    <w:rsid w:val="00EB7C03"/>
    <w:rsid w:val="00EC03BB"/>
    <w:rsid w:val="00EC0569"/>
    <w:rsid w:val="00EC0628"/>
    <w:rsid w:val="00EC1453"/>
    <w:rsid w:val="00EC311B"/>
    <w:rsid w:val="00EC315E"/>
    <w:rsid w:val="00EC44F3"/>
    <w:rsid w:val="00EC53E8"/>
    <w:rsid w:val="00EC59BA"/>
    <w:rsid w:val="00EC5CFE"/>
    <w:rsid w:val="00EC5EE9"/>
    <w:rsid w:val="00EC617F"/>
    <w:rsid w:val="00EC64C1"/>
    <w:rsid w:val="00EC6692"/>
    <w:rsid w:val="00EC6F31"/>
    <w:rsid w:val="00ED036F"/>
    <w:rsid w:val="00ED077C"/>
    <w:rsid w:val="00ED1190"/>
    <w:rsid w:val="00ED194E"/>
    <w:rsid w:val="00ED1AC3"/>
    <w:rsid w:val="00ED2C43"/>
    <w:rsid w:val="00ED5DFE"/>
    <w:rsid w:val="00ED6544"/>
    <w:rsid w:val="00ED6B93"/>
    <w:rsid w:val="00ED7B95"/>
    <w:rsid w:val="00ED7E34"/>
    <w:rsid w:val="00EE0277"/>
    <w:rsid w:val="00EE0764"/>
    <w:rsid w:val="00EE0997"/>
    <w:rsid w:val="00EE22EA"/>
    <w:rsid w:val="00EE38CC"/>
    <w:rsid w:val="00EE3E00"/>
    <w:rsid w:val="00EE3E9B"/>
    <w:rsid w:val="00EE4216"/>
    <w:rsid w:val="00EE4310"/>
    <w:rsid w:val="00EE497D"/>
    <w:rsid w:val="00EE5899"/>
    <w:rsid w:val="00EE5CB5"/>
    <w:rsid w:val="00EE5DD2"/>
    <w:rsid w:val="00EE5F0B"/>
    <w:rsid w:val="00EE648E"/>
    <w:rsid w:val="00EF07E3"/>
    <w:rsid w:val="00EF1AFE"/>
    <w:rsid w:val="00EF1E8C"/>
    <w:rsid w:val="00EF23F2"/>
    <w:rsid w:val="00EF3C98"/>
    <w:rsid w:val="00EF3DD0"/>
    <w:rsid w:val="00EF5CB2"/>
    <w:rsid w:val="00EF6055"/>
    <w:rsid w:val="00EF66CA"/>
    <w:rsid w:val="00EF6C93"/>
    <w:rsid w:val="00EF7D46"/>
    <w:rsid w:val="00F00A79"/>
    <w:rsid w:val="00F00DA7"/>
    <w:rsid w:val="00F00E86"/>
    <w:rsid w:val="00F0253D"/>
    <w:rsid w:val="00F027EE"/>
    <w:rsid w:val="00F0318A"/>
    <w:rsid w:val="00F03D54"/>
    <w:rsid w:val="00F04B3A"/>
    <w:rsid w:val="00F054B0"/>
    <w:rsid w:val="00F068AF"/>
    <w:rsid w:val="00F06F70"/>
    <w:rsid w:val="00F07446"/>
    <w:rsid w:val="00F07856"/>
    <w:rsid w:val="00F07B7C"/>
    <w:rsid w:val="00F07C1E"/>
    <w:rsid w:val="00F07E94"/>
    <w:rsid w:val="00F105DB"/>
    <w:rsid w:val="00F10D02"/>
    <w:rsid w:val="00F11CA6"/>
    <w:rsid w:val="00F12F34"/>
    <w:rsid w:val="00F132BC"/>
    <w:rsid w:val="00F13A1C"/>
    <w:rsid w:val="00F13C12"/>
    <w:rsid w:val="00F13D80"/>
    <w:rsid w:val="00F1457E"/>
    <w:rsid w:val="00F15A65"/>
    <w:rsid w:val="00F16AAA"/>
    <w:rsid w:val="00F177E4"/>
    <w:rsid w:val="00F17892"/>
    <w:rsid w:val="00F17B74"/>
    <w:rsid w:val="00F201AD"/>
    <w:rsid w:val="00F204B2"/>
    <w:rsid w:val="00F21161"/>
    <w:rsid w:val="00F218EF"/>
    <w:rsid w:val="00F21AE4"/>
    <w:rsid w:val="00F21BC7"/>
    <w:rsid w:val="00F21BC9"/>
    <w:rsid w:val="00F22081"/>
    <w:rsid w:val="00F222C7"/>
    <w:rsid w:val="00F22F4C"/>
    <w:rsid w:val="00F23062"/>
    <w:rsid w:val="00F249E5"/>
    <w:rsid w:val="00F25257"/>
    <w:rsid w:val="00F25664"/>
    <w:rsid w:val="00F25B7F"/>
    <w:rsid w:val="00F25C9D"/>
    <w:rsid w:val="00F266A2"/>
    <w:rsid w:val="00F26966"/>
    <w:rsid w:val="00F27580"/>
    <w:rsid w:val="00F31035"/>
    <w:rsid w:val="00F31638"/>
    <w:rsid w:val="00F32269"/>
    <w:rsid w:val="00F33144"/>
    <w:rsid w:val="00F3359F"/>
    <w:rsid w:val="00F362D1"/>
    <w:rsid w:val="00F369C2"/>
    <w:rsid w:val="00F4016C"/>
    <w:rsid w:val="00F40825"/>
    <w:rsid w:val="00F41C2C"/>
    <w:rsid w:val="00F42154"/>
    <w:rsid w:val="00F43AAB"/>
    <w:rsid w:val="00F44C4C"/>
    <w:rsid w:val="00F4620B"/>
    <w:rsid w:val="00F4622A"/>
    <w:rsid w:val="00F47F39"/>
    <w:rsid w:val="00F52ABA"/>
    <w:rsid w:val="00F53ACB"/>
    <w:rsid w:val="00F551EF"/>
    <w:rsid w:val="00F566DB"/>
    <w:rsid w:val="00F56A6F"/>
    <w:rsid w:val="00F5709C"/>
    <w:rsid w:val="00F571B6"/>
    <w:rsid w:val="00F578B3"/>
    <w:rsid w:val="00F57E6A"/>
    <w:rsid w:val="00F57F33"/>
    <w:rsid w:val="00F6074A"/>
    <w:rsid w:val="00F60A6A"/>
    <w:rsid w:val="00F614EC"/>
    <w:rsid w:val="00F628CC"/>
    <w:rsid w:val="00F62CE1"/>
    <w:rsid w:val="00F63A30"/>
    <w:rsid w:val="00F64E09"/>
    <w:rsid w:val="00F64EF1"/>
    <w:rsid w:val="00F6586C"/>
    <w:rsid w:val="00F6587C"/>
    <w:rsid w:val="00F66F51"/>
    <w:rsid w:val="00F66FE3"/>
    <w:rsid w:val="00F67151"/>
    <w:rsid w:val="00F675EF"/>
    <w:rsid w:val="00F67E53"/>
    <w:rsid w:val="00F70221"/>
    <w:rsid w:val="00F722E0"/>
    <w:rsid w:val="00F7304E"/>
    <w:rsid w:val="00F73093"/>
    <w:rsid w:val="00F735DB"/>
    <w:rsid w:val="00F737F9"/>
    <w:rsid w:val="00F73F28"/>
    <w:rsid w:val="00F74BED"/>
    <w:rsid w:val="00F762BA"/>
    <w:rsid w:val="00F7744C"/>
    <w:rsid w:val="00F7746A"/>
    <w:rsid w:val="00F80369"/>
    <w:rsid w:val="00F81E7E"/>
    <w:rsid w:val="00F82416"/>
    <w:rsid w:val="00F82425"/>
    <w:rsid w:val="00F827B6"/>
    <w:rsid w:val="00F82C9F"/>
    <w:rsid w:val="00F8343B"/>
    <w:rsid w:val="00F85275"/>
    <w:rsid w:val="00F85676"/>
    <w:rsid w:val="00F8568D"/>
    <w:rsid w:val="00F85AB7"/>
    <w:rsid w:val="00F85CBC"/>
    <w:rsid w:val="00F86BD6"/>
    <w:rsid w:val="00F8765F"/>
    <w:rsid w:val="00F878DA"/>
    <w:rsid w:val="00F903BD"/>
    <w:rsid w:val="00F90767"/>
    <w:rsid w:val="00F90E49"/>
    <w:rsid w:val="00F91436"/>
    <w:rsid w:val="00F91DC4"/>
    <w:rsid w:val="00F91E15"/>
    <w:rsid w:val="00F9210B"/>
    <w:rsid w:val="00F92201"/>
    <w:rsid w:val="00F942D5"/>
    <w:rsid w:val="00F94AF3"/>
    <w:rsid w:val="00F96643"/>
    <w:rsid w:val="00F96AD7"/>
    <w:rsid w:val="00F96C8D"/>
    <w:rsid w:val="00F97499"/>
    <w:rsid w:val="00F97996"/>
    <w:rsid w:val="00FA0C89"/>
    <w:rsid w:val="00FA1798"/>
    <w:rsid w:val="00FA1DB4"/>
    <w:rsid w:val="00FA2200"/>
    <w:rsid w:val="00FA277E"/>
    <w:rsid w:val="00FA2D25"/>
    <w:rsid w:val="00FA2F7C"/>
    <w:rsid w:val="00FA4A4C"/>
    <w:rsid w:val="00FA4D52"/>
    <w:rsid w:val="00FA5A09"/>
    <w:rsid w:val="00FA685B"/>
    <w:rsid w:val="00FA75B6"/>
    <w:rsid w:val="00FB0C01"/>
    <w:rsid w:val="00FB0E3E"/>
    <w:rsid w:val="00FB110A"/>
    <w:rsid w:val="00FB126D"/>
    <w:rsid w:val="00FB2358"/>
    <w:rsid w:val="00FB2ADC"/>
    <w:rsid w:val="00FB32B7"/>
    <w:rsid w:val="00FB3305"/>
    <w:rsid w:val="00FB3BAA"/>
    <w:rsid w:val="00FB4403"/>
    <w:rsid w:val="00FB50E3"/>
    <w:rsid w:val="00FB6640"/>
    <w:rsid w:val="00FB735B"/>
    <w:rsid w:val="00FC0C82"/>
    <w:rsid w:val="00FC18F2"/>
    <w:rsid w:val="00FC2767"/>
    <w:rsid w:val="00FC2829"/>
    <w:rsid w:val="00FC2D60"/>
    <w:rsid w:val="00FC323F"/>
    <w:rsid w:val="00FC348C"/>
    <w:rsid w:val="00FC39E5"/>
    <w:rsid w:val="00FC3A78"/>
    <w:rsid w:val="00FC428F"/>
    <w:rsid w:val="00FC5D87"/>
    <w:rsid w:val="00FC7D63"/>
    <w:rsid w:val="00FD0319"/>
    <w:rsid w:val="00FD0AB4"/>
    <w:rsid w:val="00FD1005"/>
    <w:rsid w:val="00FD444A"/>
    <w:rsid w:val="00FD5D21"/>
    <w:rsid w:val="00FD68C3"/>
    <w:rsid w:val="00FD6C75"/>
    <w:rsid w:val="00FD73A3"/>
    <w:rsid w:val="00FD782C"/>
    <w:rsid w:val="00FD7933"/>
    <w:rsid w:val="00FD7C7A"/>
    <w:rsid w:val="00FE06B9"/>
    <w:rsid w:val="00FE0BC9"/>
    <w:rsid w:val="00FE0C45"/>
    <w:rsid w:val="00FE0E54"/>
    <w:rsid w:val="00FE15BD"/>
    <w:rsid w:val="00FE1CD8"/>
    <w:rsid w:val="00FE1DB5"/>
    <w:rsid w:val="00FE2020"/>
    <w:rsid w:val="00FE2BFC"/>
    <w:rsid w:val="00FE4903"/>
    <w:rsid w:val="00FE57AE"/>
    <w:rsid w:val="00FE71B3"/>
    <w:rsid w:val="00FE7233"/>
    <w:rsid w:val="00FF0394"/>
    <w:rsid w:val="00FF060C"/>
    <w:rsid w:val="00FF42C5"/>
    <w:rsid w:val="00FF5985"/>
    <w:rsid w:val="00FF60EF"/>
    <w:rsid w:val="00FF6AD8"/>
    <w:rsid w:val="00FF6A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7EBE7F8-83EE-42B3-B8C9-7AF53D00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semiHidden="1" w:uiPriority="39" w:unhideWhenUsed="1"/>
    <w:lsdException w:name="toc 5" w:semiHidden="1" w:uiPriority="39"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389D"/>
    <w:rPr>
      <w:rFonts w:cs="Calibri"/>
      <w:lang w:eastAsia="en-US"/>
    </w:rPr>
  </w:style>
  <w:style w:type="paragraph" w:styleId="Nagwek1">
    <w:name w:val="heading 1"/>
    <w:basedOn w:val="Normalny"/>
    <w:next w:val="Normalny"/>
    <w:link w:val="Nagwek1Znak"/>
    <w:uiPriority w:val="99"/>
    <w:qFormat/>
    <w:rsid w:val="001A5067"/>
    <w:pPr>
      <w:spacing w:before="480"/>
      <w:outlineLvl w:val="0"/>
    </w:pPr>
    <w:rPr>
      <w:rFonts w:eastAsia="Times New Roman"/>
      <w:b/>
      <w:bCs/>
      <w:color w:val="333333"/>
      <w:sz w:val="28"/>
      <w:szCs w:val="28"/>
    </w:rPr>
  </w:style>
  <w:style w:type="paragraph" w:styleId="Nagwek2">
    <w:name w:val="heading 2"/>
    <w:basedOn w:val="Normalny"/>
    <w:next w:val="Normalny"/>
    <w:link w:val="Nagwek2Znak"/>
    <w:uiPriority w:val="99"/>
    <w:qFormat/>
    <w:rsid w:val="001A5067"/>
    <w:pPr>
      <w:spacing w:before="200"/>
      <w:outlineLvl w:val="1"/>
    </w:pPr>
    <w:rPr>
      <w:rFonts w:eastAsia="Times New Roman"/>
      <w:b/>
      <w:bCs/>
      <w:color w:val="4D4D4D"/>
      <w:sz w:val="26"/>
      <w:szCs w:val="26"/>
    </w:rPr>
  </w:style>
  <w:style w:type="paragraph" w:styleId="Nagwek3">
    <w:name w:val="heading 3"/>
    <w:basedOn w:val="Normalny"/>
    <w:next w:val="Normalny"/>
    <w:link w:val="Nagwek3Znak"/>
    <w:uiPriority w:val="99"/>
    <w:qFormat/>
    <w:rsid w:val="001A5067"/>
    <w:pPr>
      <w:spacing w:before="200" w:line="271" w:lineRule="auto"/>
      <w:outlineLvl w:val="2"/>
    </w:pPr>
    <w:rPr>
      <w:rFonts w:eastAsia="Times New Roman"/>
      <w:b/>
      <w:bCs/>
      <w:color w:val="5F5F5F"/>
    </w:rPr>
  </w:style>
  <w:style w:type="paragraph" w:styleId="Nagwek4">
    <w:name w:val="heading 4"/>
    <w:basedOn w:val="Normalny"/>
    <w:next w:val="Normalny"/>
    <w:link w:val="Nagwek4Znak"/>
    <w:uiPriority w:val="99"/>
    <w:qFormat/>
    <w:rsid w:val="001A5067"/>
    <w:pPr>
      <w:spacing w:before="200"/>
      <w:outlineLvl w:val="3"/>
    </w:pPr>
    <w:rPr>
      <w:rFonts w:eastAsia="Times New Roman"/>
      <w:b/>
      <w:bCs/>
      <w:i/>
      <w:iCs/>
      <w:color w:val="777777"/>
    </w:rPr>
  </w:style>
  <w:style w:type="paragraph" w:styleId="Nagwek5">
    <w:name w:val="heading 5"/>
    <w:basedOn w:val="Normalny"/>
    <w:next w:val="Normalny"/>
    <w:link w:val="Nagwek5Znak"/>
    <w:uiPriority w:val="99"/>
    <w:qFormat/>
    <w:rsid w:val="001A5067"/>
    <w:pPr>
      <w:spacing w:before="200"/>
      <w:outlineLvl w:val="4"/>
    </w:pPr>
    <w:rPr>
      <w:rFonts w:eastAsia="Times New Roman"/>
      <w:b/>
      <w:bCs/>
      <w:color w:val="808080"/>
    </w:rPr>
  </w:style>
  <w:style w:type="paragraph" w:styleId="Nagwek6">
    <w:name w:val="heading 6"/>
    <w:basedOn w:val="Normalny"/>
    <w:next w:val="Normalny"/>
    <w:link w:val="Nagwek6Znak"/>
    <w:uiPriority w:val="99"/>
    <w:qFormat/>
    <w:rsid w:val="001A5067"/>
    <w:pPr>
      <w:spacing w:line="271" w:lineRule="auto"/>
      <w:outlineLvl w:val="5"/>
    </w:pPr>
    <w:rPr>
      <w:rFonts w:eastAsia="Times New Roman"/>
      <w:b/>
      <w:bCs/>
      <w:i/>
      <w:iCs/>
      <w:color w:val="7F7F7F"/>
    </w:rPr>
  </w:style>
  <w:style w:type="paragraph" w:styleId="Nagwek7">
    <w:name w:val="heading 7"/>
    <w:basedOn w:val="Normalny"/>
    <w:next w:val="Normalny"/>
    <w:link w:val="Nagwek7Znak"/>
    <w:uiPriority w:val="99"/>
    <w:qFormat/>
    <w:rsid w:val="001A5067"/>
    <w:pPr>
      <w:outlineLvl w:val="6"/>
    </w:pPr>
    <w:rPr>
      <w:rFonts w:eastAsia="Times New Roman"/>
      <w:i/>
      <w:iCs/>
    </w:rPr>
  </w:style>
  <w:style w:type="paragraph" w:styleId="Nagwek8">
    <w:name w:val="heading 8"/>
    <w:basedOn w:val="Normalny"/>
    <w:next w:val="Normalny"/>
    <w:link w:val="Nagwek8Znak"/>
    <w:uiPriority w:val="99"/>
    <w:qFormat/>
    <w:rsid w:val="001A5067"/>
    <w:pPr>
      <w:outlineLvl w:val="7"/>
    </w:pPr>
    <w:rPr>
      <w:rFonts w:eastAsia="Times New Roman"/>
      <w:sz w:val="20"/>
      <w:szCs w:val="20"/>
    </w:rPr>
  </w:style>
  <w:style w:type="paragraph" w:styleId="Nagwek9">
    <w:name w:val="heading 9"/>
    <w:basedOn w:val="Normalny"/>
    <w:next w:val="Normalny"/>
    <w:link w:val="Nagwek9Znak"/>
    <w:uiPriority w:val="99"/>
    <w:qFormat/>
    <w:rsid w:val="001A5067"/>
    <w:pPr>
      <w:outlineLvl w:val="8"/>
    </w:pPr>
    <w:rPr>
      <w:rFonts w:eastAsia="Times New Roman"/>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D523D"/>
    <w:rPr>
      <w:rFonts w:ascii="Calibri" w:hAnsi="Calibri" w:cs="Calibri"/>
      <w:b/>
      <w:bCs/>
      <w:color w:val="333333"/>
      <w:sz w:val="28"/>
      <w:szCs w:val="28"/>
    </w:rPr>
  </w:style>
  <w:style w:type="character" w:customStyle="1" w:styleId="Nagwek2Znak">
    <w:name w:val="Nagłówek 2 Znak"/>
    <w:basedOn w:val="Domylnaczcionkaakapitu"/>
    <w:link w:val="Nagwek2"/>
    <w:uiPriority w:val="99"/>
    <w:semiHidden/>
    <w:locked/>
    <w:rsid w:val="000D523D"/>
    <w:rPr>
      <w:rFonts w:ascii="Calibri" w:hAnsi="Calibri" w:cs="Calibri"/>
      <w:b/>
      <w:bCs/>
      <w:color w:val="4D4D4D"/>
      <w:sz w:val="26"/>
      <w:szCs w:val="26"/>
    </w:rPr>
  </w:style>
  <w:style w:type="character" w:customStyle="1" w:styleId="Nagwek3Znak">
    <w:name w:val="Nagłówek 3 Znak"/>
    <w:basedOn w:val="Domylnaczcionkaakapitu"/>
    <w:link w:val="Nagwek3"/>
    <w:uiPriority w:val="99"/>
    <w:semiHidden/>
    <w:locked/>
    <w:rsid w:val="000D523D"/>
    <w:rPr>
      <w:rFonts w:ascii="Calibri" w:hAnsi="Calibri" w:cs="Calibri"/>
      <w:b/>
      <w:bCs/>
      <w:color w:val="5F5F5F"/>
    </w:rPr>
  </w:style>
  <w:style w:type="character" w:customStyle="1" w:styleId="Nagwek4Znak">
    <w:name w:val="Nagłówek 4 Znak"/>
    <w:basedOn w:val="Domylnaczcionkaakapitu"/>
    <w:link w:val="Nagwek4"/>
    <w:uiPriority w:val="99"/>
    <w:semiHidden/>
    <w:locked/>
    <w:rsid w:val="000D523D"/>
    <w:rPr>
      <w:rFonts w:ascii="Calibri" w:hAnsi="Calibri" w:cs="Calibri"/>
      <w:b/>
      <w:bCs/>
      <w:i/>
      <w:iCs/>
      <w:color w:val="777777"/>
    </w:rPr>
  </w:style>
  <w:style w:type="character" w:customStyle="1" w:styleId="Nagwek5Znak">
    <w:name w:val="Nagłówek 5 Znak"/>
    <w:basedOn w:val="Domylnaczcionkaakapitu"/>
    <w:link w:val="Nagwek5"/>
    <w:uiPriority w:val="99"/>
    <w:semiHidden/>
    <w:locked/>
    <w:rsid w:val="000D523D"/>
    <w:rPr>
      <w:rFonts w:ascii="Calibri" w:hAnsi="Calibri" w:cs="Calibri"/>
      <w:b/>
      <w:bCs/>
      <w:color w:val="808080"/>
    </w:rPr>
  </w:style>
  <w:style w:type="character" w:customStyle="1" w:styleId="Nagwek6Znak">
    <w:name w:val="Nagłówek 6 Znak"/>
    <w:basedOn w:val="Domylnaczcionkaakapitu"/>
    <w:link w:val="Nagwek6"/>
    <w:uiPriority w:val="99"/>
    <w:semiHidden/>
    <w:locked/>
    <w:rsid w:val="000D523D"/>
    <w:rPr>
      <w:rFonts w:ascii="Calibri" w:hAnsi="Calibri" w:cs="Calibri"/>
      <w:b/>
      <w:bCs/>
      <w:i/>
      <w:iCs/>
      <w:color w:val="7F7F7F"/>
    </w:rPr>
  </w:style>
  <w:style w:type="character" w:customStyle="1" w:styleId="Nagwek7Znak">
    <w:name w:val="Nagłówek 7 Znak"/>
    <w:basedOn w:val="Domylnaczcionkaakapitu"/>
    <w:link w:val="Nagwek7"/>
    <w:uiPriority w:val="99"/>
    <w:semiHidden/>
    <w:locked/>
    <w:rsid w:val="000D523D"/>
    <w:rPr>
      <w:rFonts w:ascii="Calibri" w:hAnsi="Calibri" w:cs="Calibri"/>
      <w:i/>
      <w:iCs/>
    </w:rPr>
  </w:style>
  <w:style w:type="character" w:customStyle="1" w:styleId="Nagwek8Znak">
    <w:name w:val="Nagłówek 8 Znak"/>
    <w:basedOn w:val="Domylnaczcionkaakapitu"/>
    <w:link w:val="Nagwek8"/>
    <w:uiPriority w:val="99"/>
    <w:semiHidden/>
    <w:locked/>
    <w:rsid w:val="000D523D"/>
    <w:rPr>
      <w:rFonts w:ascii="Calibri" w:hAnsi="Calibri" w:cs="Calibri"/>
      <w:sz w:val="20"/>
      <w:szCs w:val="20"/>
    </w:rPr>
  </w:style>
  <w:style w:type="character" w:customStyle="1" w:styleId="Nagwek9Znak">
    <w:name w:val="Nagłówek 9 Znak"/>
    <w:basedOn w:val="Domylnaczcionkaakapitu"/>
    <w:link w:val="Nagwek9"/>
    <w:uiPriority w:val="99"/>
    <w:semiHidden/>
    <w:locked/>
    <w:rsid w:val="000D523D"/>
    <w:rPr>
      <w:rFonts w:ascii="Calibri" w:hAnsi="Calibri" w:cs="Calibri"/>
      <w:i/>
      <w:iCs/>
      <w:spacing w:val="5"/>
      <w:sz w:val="20"/>
      <w:szCs w:val="20"/>
    </w:rPr>
  </w:style>
  <w:style w:type="paragraph" w:styleId="Tekstdymka">
    <w:name w:val="Balloon Text"/>
    <w:basedOn w:val="Normalny"/>
    <w:link w:val="TekstdymkaZnak"/>
    <w:uiPriority w:val="99"/>
    <w:semiHidden/>
    <w:rsid w:val="001A506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D523D"/>
    <w:rPr>
      <w:rFonts w:ascii="Tahoma" w:hAnsi="Tahoma" w:cs="Tahoma"/>
      <w:sz w:val="16"/>
      <w:szCs w:val="16"/>
    </w:rPr>
  </w:style>
  <w:style w:type="character" w:styleId="Tytuksiki">
    <w:name w:val="Book Title"/>
    <w:basedOn w:val="Domylnaczcionkaakapitu"/>
    <w:uiPriority w:val="99"/>
    <w:qFormat/>
    <w:rsid w:val="001A5067"/>
    <w:rPr>
      <w:i/>
      <w:iCs/>
      <w:smallCaps/>
      <w:spacing w:val="5"/>
    </w:rPr>
  </w:style>
  <w:style w:type="paragraph" w:customStyle="1" w:styleId="DummyStyle">
    <w:name w:val="Dummy_Style"/>
    <w:basedOn w:val="Normalny"/>
    <w:uiPriority w:val="99"/>
    <w:semiHidden/>
    <w:rsid w:val="001A5067"/>
    <w:rPr>
      <w:color w:val="00B050"/>
    </w:rPr>
  </w:style>
  <w:style w:type="paragraph" w:customStyle="1" w:styleId="NormalJustified">
    <w:name w:val="Normal_Justified"/>
    <w:basedOn w:val="Normalny"/>
    <w:uiPriority w:val="99"/>
    <w:semiHidden/>
    <w:rsid w:val="001A5067"/>
    <w:pPr>
      <w:jc w:val="both"/>
    </w:pPr>
  </w:style>
  <w:style w:type="paragraph" w:customStyle="1" w:styleId="ECHRBullet1">
    <w:name w:val="ECHR_Bullet_1"/>
    <w:aliases w:val="Bul_1"/>
    <w:basedOn w:val="NormalJustified"/>
    <w:uiPriority w:val="99"/>
    <w:rsid w:val="001A5067"/>
    <w:pPr>
      <w:numPr>
        <w:numId w:val="22"/>
      </w:numPr>
      <w:tabs>
        <w:tab w:val="clear" w:pos="1135"/>
        <w:tab w:val="num" w:pos="1004"/>
      </w:tabs>
      <w:spacing w:before="60" w:after="60"/>
      <w:ind w:left="1004"/>
    </w:pPr>
    <w:rPr>
      <w:rFonts w:eastAsia="Times New Roman"/>
    </w:rPr>
  </w:style>
  <w:style w:type="paragraph" w:customStyle="1" w:styleId="ECHRBullet2">
    <w:name w:val="ECHR_Bullet_2"/>
    <w:aliases w:val="Bul_2"/>
    <w:basedOn w:val="ECHRBullet1"/>
    <w:uiPriority w:val="99"/>
    <w:rsid w:val="001A5067"/>
    <w:pPr>
      <w:numPr>
        <w:ilvl w:val="1"/>
      </w:numPr>
    </w:pPr>
  </w:style>
  <w:style w:type="paragraph" w:customStyle="1" w:styleId="ECHRBullet3">
    <w:name w:val="ECHR_Bullet_3"/>
    <w:aliases w:val="Bul_3"/>
    <w:basedOn w:val="ECHRBullet2"/>
    <w:uiPriority w:val="99"/>
    <w:rsid w:val="001A5067"/>
    <w:pPr>
      <w:numPr>
        <w:ilvl w:val="2"/>
      </w:numPr>
    </w:pPr>
  </w:style>
  <w:style w:type="paragraph" w:customStyle="1" w:styleId="ECHRBullet4">
    <w:name w:val="ECHR_Bullet_4"/>
    <w:aliases w:val="Bul_4"/>
    <w:basedOn w:val="ECHRBullet3"/>
    <w:uiPriority w:val="99"/>
    <w:rsid w:val="001A5067"/>
    <w:pPr>
      <w:numPr>
        <w:ilvl w:val="3"/>
      </w:numPr>
    </w:pPr>
  </w:style>
  <w:style w:type="paragraph" w:customStyle="1" w:styleId="ECHRPara">
    <w:name w:val="ECHR_Para"/>
    <w:aliases w:val="Para,Ju_Para"/>
    <w:basedOn w:val="NormalJustified"/>
    <w:link w:val="ECHRParaChar"/>
    <w:uiPriority w:val="99"/>
    <w:rsid w:val="001A5067"/>
    <w:rPr>
      <w:sz w:val="20"/>
      <w:szCs w:val="20"/>
      <w:lang w:eastAsia="pl-PL"/>
    </w:rPr>
  </w:style>
  <w:style w:type="paragraph" w:customStyle="1" w:styleId="ECHRConfidential">
    <w:name w:val="ECHR_Confidential"/>
    <w:aliases w:val="Confidential"/>
    <w:basedOn w:val="ECHRPara"/>
    <w:next w:val="ECHRPara"/>
    <w:uiPriority w:val="99"/>
    <w:rsid w:val="001A5067"/>
    <w:pPr>
      <w:jc w:val="right"/>
    </w:pPr>
    <w:rPr>
      <w:color w:val="C00000"/>
    </w:rPr>
  </w:style>
  <w:style w:type="paragraph" w:customStyle="1" w:styleId="ECHRCoverTitle1">
    <w:name w:val="ECHR_Cover_Title_1"/>
    <w:aliases w:val="Cover_1"/>
    <w:basedOn w:val="Normalny"/>
    <w:next w:val="Normalny"/>
    <w:uiPriority w:val="99"/>
    <w:rsid w:val="001A5067"/>
    <w:pPr>
      <w:spacing w:before="840"/>
      <w:jc w:val="center"/>
    </w:pPr>
    <w:rPr>
      <w:color w:val="2F2F2F"/>
      <w:sz w:val="36"/>
      <w:szCs w:val="36"/>
    </w:rPr>
  </w:style>
  <w:style w:type="paragraph" w:customStyle="1" w:styleId="ECHRCoverTitle2">
    <w:name w:val="ECHR_Cover_Title_2"/>
    <w:aliases w:val="Cover_2"/>
    <w:basedOn w:val="Normalny"/>
    <w:next w:val="Normalny"/>
    <w:uiPriority w:val="99"/>
    <w:rsid w:val="001A5067"/>
    <w:pPr>
      <w:spacing w:before="600"/>
      <w:jc w:val="center"/>
    </w:pPr>
    <w:rPr>
      <w:color w:val="474747"/>
      <w:sz w:val="28"/>
      <w:szCs w:val="28"/>
    </w:rPr>
  </w:style>
  <w:style w:type="paragraph" w:customStyle="1" w:styleId="ECHRCoverTitle3">
    <w:name w:val="ECHR_Cover_Title_3"/>
    <w:aliases w:val="Cover_3"/>
    <w:basedOn w:val="Normalny"/>
    <w:next w:val="ECHRCoverTitle4"/>
    <w:uiPriority w:val="99"/>
    <w:rsid w:val="001A5067"/>
    <w:pPr>
      <w:spacing w:before="1080" w:after="1080"/>
      <w:jc w:val="center"/>
    </w:pPr>
    <w:rPr>
      <w:b/>
      <w:bCs/>
      <w:color w:val="474747"/>
      <w:sz w:val="24"/>
      <w:szCs w:val="24"/>
    </w:rPr>
  </w:style>
  <w:style w:type="paragraph" w:customStyle="1" w:styleId="ECHRCoverTitle4">
    <w:name w:val="ECHR_Cover_Title_4"/>
    <w:aliases w:val="Cover_4"/>
    <w:basedOn w:val="Normalny"/>
    <w:uiPriority w:val="99"/>
    <w:rsid w:val="001A5067"/>
    <w:pPr>
      <w:tabs>
        <w:tab w:val="right" w:pos="7938"/>
      </w:tabs>
      <w:spacing w:before="120" w:after="120"/>
      <w:ind w:left="1134" w:right="1134"/>
    </w:pPr>
    <w:rPr>
      <w:color w:val="2F2F2F"/>
    </w:rPr>
  </w:style>
  <w:style w:type="paragraph" w:customStyle="1" w:styleId="ECHRDecisionBody">
    <w:name w:val="ECHR_Decision_Body"/>
    <w:basedOn w:val="NormalJustified"/>
    <w:uiPriority w:val="99"/>
    <w:semiHidden/>
    <w:rsid w:val="001A5067"/>
    <w:pPr>
      <w:tabs>
        <w:tab w:val="left" w:pos="567"/>
        <w:tab w:val="left" w:pos="1134"/>
      </w:tabs>
      <w:spacing w:line="240" w:lineRule="exact"/>
      <w:jc w:val="left"/>
    </w:pPr>
    <w:rPr>
      <w:rFonts w:eastAsia="Times New Roman"/>
    </w:rPr>
  </w:style>
  <w:style w:type="paragraph" w:customStyle="1" w:styleId="ECHRDivisionName">
    <w:name w:val="ECHR_DivisionName"/>
    <w:aliases w:val="Div_Name"/>
    <w:basedOn w:val="Normalny"/>
    <w:link w:val="ECHRDivisionNameChar"/>
    <w:uiPriority w:val="99"/>
    <w:rsid w:val="00F204B2"/>
    <w:pPr>
      <w:jc w:val="center"/>
    </w:pPr>
    <w:rPr>
      <w:rFonts w:ascii="Arial Narrow" w:hAnsi="Arial Narrow" w:cs="Arial Narrow"/>
      <w:i/>
      <w:iCs/>
      <w:color w:val="0072BC"/>
      <w:sz w:val="32"/>
      <w:szCs w:val="32"/>
    </w:rPr>
  </w:style>
  <w:style w:type="character" w:customStyle="1" w:styleId="ECHRDivisionNameChar">
    <w:name w:val="ECHR_DivisionName Char"/>
    <w:aliases w:val="Div_Name Char"/>
    <w:basedOn w:val="Domylnaczcionkaakapitu"/>
    <w:link w:val="ECHRDivisionName"/>
    <w:uiPriority w:val="99"/>
    <w:locked/>
    <w:rsid w:val="00F204B2"/>
    <w:rPr>
      <w:rFonts w:ascii="Arial Narrow" w:hAnsi="Arial Narrow" w:cs="Arial Narrow"/>
      <w:i/>
      <w:iCs/>
      <w:color w:val="0072BC"/>
      <w:sz w:val="32"/>
      <w:szCs w:val="32"/>
      <w:lang w:val="pl-PL"/>
    </w:rPr>
  </w:style>
  <w:style w:type="table" w:customStyle="1" w:styleId="ECHRDNTable">
    <w:name w:val="ECHR_DN_Table"/>
    <w:aliases w:val="DN_Table"/>
    <w:uiPriority w:val="99"/>
    <w:rsid w:val="001A5067"/>
    <w:rPr>
      <w:rFonts w:cs="Calibri"/>
      <w:sz w:val="20"/>
      <w:szCs w:val="20"/>
    </w:rPr>
    <w:tblPr>
      <w:jc w:val="center"/>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left w:w="108" w:type="dxa"/>
        <w:bottom w:w="57" w:type="dxa"/>
        <w:right w:w="108" w:type="dxa"/>
      </w:tblCellMar>
    </w:tblPr>
    <w:trPr>
      <w:jc w:val="center"/>
    </w:trPr>
    <w:tblStylePr w:type="firstRow">
      <w:pPr>
        <w:spacing w:beforeLines="0"/>
        <w:ind w:leftChars="0" w:left="0"/>
      </w:pPr>
      <w:rPr>
        <w:rFonts w:ascii="Calibri" w:hAnsi="Calibri" w:cs="Calibri"/>
        <w:b/>
        <w:bCs/>
        <w:i w:val="0"/>
        <w:iCs w:val="0"/>
        <w:color w:val="474747"/>
        <w:sz w:val="24"/>
        <w:szCs w:val="24"/>
      </w:rPr>
      <w:tblPr/>
      <w:tcPr>
        <w:tcBorders>
          <w:top w:val="single" w:sz="4" w:space="0" w:color="949494"/>
          <w:left w:val="single" w:sz="4" w:space="0" w:color="949494"/>
          <w:bottom w:val="nil"/>
          <w:right w:val="single" w:sz="4" w:space="0" w:color="949494"/>
          <w:insideH w:val="nil"/>
          <w:insideV w:val="nil"/>
          <w:tl2br w:val="nil"/>
          <w:tr2bl w:val="nil"/>
        </w:tcBorders>
        <w:shd w:val="clear" w:color="auto" w:fill="DFDFDF"/>
      </w:tcPr>
    </w:tblStylePr>
  </w:style>
  <w:style w:type="paragraph" w:styleId="Stopka">
    <w:name w:val="footer"/>
    <w:basedOn w:val="Normalny"/>
    <w:link w:val="StopkaZnak"/>
    <w:uiPriority w:val="99"/>
    <w:rsid w:val="001A5067"/>
    <w:pPr>
      <w:tabs>
        <w:tab w:val="center" w:pos="4536"/>
        <w:tab w:val="right" w:pos="9696"/>
      </w:tabs>
      <w:ind w:left="-680" w:right="-680"/>
    </w:pPr>
  </w:style>
  <w:style w:type="character" w:customStyle="1" w:styleId="StopkaZnak">
    <w:name w:val="Stopka Znak"/>
    <w:basedOn w:val="Domylnaczcionkaakapitu"/>
    <w:link w:val="Stopka"/>
    <w:uiPriority w:val="99"/>
    <w:locked/>
    <w:rsid w:val="000D523D"/>
  </w:style>
  <w:style w:type="paragraph" w:customStyle="1" w:styleId="ECHRFooter">
    <w:name w:val="ECHR_Footer"/>
    <w:aliases w:val="Footer_ECHR"/>
    <w:basedOn w:val="Stopka"/>
    <w:link w:val="ECHRFooterChar"/>
    <w:uiPriority w:val="99"/>
    <w:rsid w:val="001A5067"/>
    <w:rPr>
      <w:sz w:val="8"/>
      <w:szCs w:val="8"/>
    </w:rPr>
  </w:style>
  <w:style w:type="paragraph" w:customStyle="1" w:styleId="ECHRFooterLine">
    <w:name w:val="ECHR_Footer_Line"/>
    <w:aliases w:val="Footer_Line"/>
    <w:basedOn w:val="Normalny"/>
    <w:next w:val="ECHRPara"/>
    <w:uiPriority w:val="99"/>
    <w:rsid w:val="001A5067"/>
    <w:pPr>
      <w:pBdr>
        <w:top w:val="single" w:sz="8" w:space="1" w:color="7F7F7F"/>
      </w:pBdr>
      <w:tabs>
        <w:tab w:val="center" w:pos="4536"/>
        <w:tab w:val="right" w:pos="9696"/>
      </w:tabs>
      <w:ind w:left="-680" w:right="-680"/>
    </w:pPr>
    <w:rPr>
      <w:color w:val="474747"/>
    </w:rPr>
  </w:style>
  <w:style w:type="paragraph" w:customStyle="1" w:styleId="ECHRFooterLineLandscape">
    <w:name w:val="ECHR_Footer_Line_Landscape"/>
    <w:aliases w:val="Footer_Line_Landscape"/>
    <w:basedOn w:val="ECHRFooterLine"/>
    <w:uiPriority w:val="99"/>
    <w:rsid w:val="001A5067"/>
    <w:pPr>
      <w:tabs>
        <w:tab w:val="clear" w:pos="4536"/>
        <w:tab w:val="clear" w:pos="9696"/>
        <w:tab w:val="center" w:pos="6787"/>
        <w:tab w:val="right" w:pos="14640"/>
      </w:tabs>
    </w:pPr>
  </w:style>
  <w:style w:type="paragraph" w:styleId="Nagwek">
    <w:name w:val="header"/>
    <w:basedOn w:val="Normalny"/>
    <w:link w:val="NagwekZnak"/>
    <w:uiPriority w:val="99"/>
    <w:rsid w:val="001A5067"/>
    <w:pPr>
      <w:tabs>
        <w:tab w:val="center" w:pos="4536"/>
        <w:tab w:val="right" w:pos="9696"/>
      </w:tabs>
      <w:ind w:left="-680" w:right="-680"/>
    </w:pPr>
  </w:style>
  <w:style w:type="character" w:customStyle="1" w:styleId="NagwekZnak">
    <w:name w:val="Nagłówek Znak"/>
    <w:basedOn w:val="Domylnaczcionkaakapitu"/>
    <w:link w:val="Nagwek"/>
    <w:uiPriority w:val="99"/>
    <w:locked/>
    <w:rsid w:val="000D523D"/>
  </w:style>
  <w:style w:type="paragraph" w:customStyle="1" w:styleId="ECHRHeader">
    <w:name w:val="ECHR_Header"/>
    <w:aliases w:val="Top_Header"/>
    <w:basedOn w:val="Nagwek"/>
    <w:uiPriority w:val="99"/>
    <w:rsid w:val="001A5067"/>
    <w:rPr>
      <w:sz w:val="8"/>
      <w:szCs w:val="8"/>
    </w:rPr>
  </w:style>
  <w:style w:type="paragraph" w:customStyle="1" w:styleId="ECHRHeaderDate">
    <w:name w:val="ECHR_Header_Date"/>
    <w:aliases w:val="Ref_Date"/>
    <w:basedOn w:val="Normalny"/>
    <w:uiPriority w:val="99"/>
    <w:rsid w:val="001A5067"/>
    <w:pPr>
      <w:jc w:val="right"/>
    </w:pPr>
    <w:rPr>
      <w:sz w:val="20"/>
      <w:szCs w:val="20"/>
    </w:rPr>
  </w:style>
  <w:style w:type="paragraph" w:customStyle="1" w:styleId="ECHRHeaderLandscape">
    <w:name w:val="ECHR_Header_Landscape"/>
    <w:aliases w:val="Header_Landscape"/>
    <w:basedOn w:val="Nagwek"/>
    <w:uiPriority w:val="99"/>
    <w:rsid w:val="001A5067"/>
    <w:pPr>
      <w:tabs>
        <w:tab w:val="clear" w:pos="4536"/>
        <w:tab w:val="clear" w:pos="9696"/>
        <w:tab w:val="center" w:pos="6787"/>
        <w:tab w:val="right" w:pos="14640"/>
      </w:tabs>
    </w:pPr>
  </w:style>
  <w:style w:type="paragraph" w:customStyle="1" w:styleId="ECHRHeaderRefIt">
    <w:name w:val="ECHR_Header_Ref_It"/>
    <w:aliases w:val="Ref_Ital"/>
    <w:basedOn w:val="Normalny"/>
    <w:next w:val="ECHRHeaderDate"/>
    <w:uiPriority w:val="99"/>
    <w:rsid w:val="001A5067"/>
    <w:pPr>
      <w:jc w:val="right"/>
    </w:pPr>
    <w:rPr>
      <w:i/>
      <w:iCs/>
      <w:sz w:val="20"/>
      <w:szCs w:val="20"/>
    </w:rPr>
  </w:style>
  <w:style w:type="table" w:customStyle="1" w:styleId="ECHRHeaderTable">
    <w:name w:val="ECHR_Header_Table"/>
    <w:uiPriority w:val="99"/>
    <w:rsid w:val="001A5067"/>
    <w:rPr>
      <w:rFonts w:cs="Calibri"/>
      <w:sz w:val="20"/>
      <w:szCs w:val="20"/>
    </w:rPr>
    <w:tblPr>
      <w:tblBorders>
        <w:bottom w:val="single" w:sz="6" w:space="0" w:color="949494"/>
      </w:tblBorders>
      <w:tblCellMar>
        <w:top w:w="0" w:type="dxa"/>
        <w:left w:w="0" w:type="dxa"/>
        <w:bottom w:w="28" w:type="dxa"/>
        <w:right w:w="0" w:type="dxa"/>
      </w:tblCellMar>
    </w:tblPr>
    <w:tblStylePr w:type="lastCol">
      <w:pPr>
        <w:jc w:val="right"/>
      </w:pPr>
    </w:tblStylePr>
  </w:style>
  <w:style w:type="table" w:customStyle="1" w:styleId="ECHRHeaderTableReduced">
    <w:name w:val="ECHR_Header_Table_Reduced"/>
    <w:uiPriority w:val="99"/>
    <w:rsid w:val="001A5067"/>
    <w:rPr>
      <w:rFonts w:cs="Calibri"/>
      <w:sz w:val="20"/>
      <w:szCs w:val="20"/>
    </w:rPr>
    <w:tblPr>
      <w:tblCellMar>
        <w:top w:w="0" w:type="dxa"/>
        <w:left w:w="0" w:type="dxa"/>
        <w:bottom w:w="0" w:type="dxa"/>
        <w:right w:w="0" w:type="dxa"/>
      </w:tblCellMar>
    </w:tblPr>
    <w:tblStylePr w:type="firstRow">
      <w:rPr>
        <w:sz w:val="18"/>
        <w:szCs w:val="18"/>
      </w:rPr>
      <w:tblPr/>
      <w:tcPr>
        <w:tcBorders>
          <w:top w:val="nil"/>
          <w:left w:val="nil"/>
          <w:bottom w:val="single" w:sz="6" w:space="0" w:color="949494"/>
          <w:right w:val="nil"/>
          <w:insideH w:val="nil"/>
          <w:insideV w:val="nil"/>
          <w:tl2br w:val="nil"/>
          <w:tr2bl w:val="nil"/>
        </w:tcBorders>
      </w:tcPr>
    </w:tblStylePr>
    <w:tblStylePr w:type="lastRow">
      <w:pPr>
        <w:jc w:val="right"/>
      </w:pPr>
      <w:tblPr/>
      <w:tcPr>
        <w:tcBorders>
          <w:top w:val="single" w:sz="6" w:space="0" w:color="949494"/>
          <w:left w:val="nil"/>
          <w:bottom w:val="nil"/>
          <w:right w:val="nil"/>
          <w:insideH w:val="nil"/>
          <w:insideV w:val="nil"/>
          <w:tl2br w:val="nil"/>
          <w:tr2bl w:val="nil"/>
        </w:tcBorders>
      </w:tcPr>
    </w:tblStylePr>
  </w:style>
  <w:style w:type="paragraph" w:customStyle="1" w:styleId="ECHRHeading1">
    <w:name w:val="ECHR_Heading_1"/>
    <w:aliases w:val="Head_1"/>
    <w:basedOn w:val="Nagwek1"/>
    <w:next w:val="ECHRParaSpaced"/>
    <w:uiPriority w:val="99"/>
    <w:rsid w:val="001A5067"/>
    <w:pPr>
      <w:keepNext/>
      <w:keepLines/>
      <w:pBdr>
        <w:bottom w:val="single" w:sz="12" w:space="1" w:color="949494"/>
      </w:pBdr>
      <w:spacing w:before="240"/>
    </w:pPr>
    <w:rPr>
      <w:color w:val="2F2F2F"/>
    </w:rPr>
  </w:style>
  <w:style w:type="paragraph" w:customStyle="1" w:styleId="ECHRHeading2">
    <w:name w:val="ECHR_Heading_2"/>
    <w:aliases w:val="Head_2"/>
    <w:basedOn w:val="Nagwek2"/>
    <w:next w:val="ECHRParaSpaced"/>
    <w:uiPriority w:val="99"/>
    <w:rsid w:val="001A5067"/>
    <w:pPr>
      <w:keepNext/>
      <w:keepLines/>
      <w:spacing w:before="240"/>
    </w:pPr>
    <w:rPr>
      <w:color w:val="2F2F2F"/>
      <w:sz w:val="28"/>
      <w:szCs w:val="28"/>
    </w:rPr>
  </w:style>
  <w:style w:type="paragraph" w:customStyle="1" w:styleId="ECHRHeading3">
    <w:name w:val="ECHR_Heading_3"/>
    <w:aliases w:val="Head_3"/>
    <w:basedOn w:val="Nagwek3"/>
    <w:next w:val="ECHRParaSpaced"/>
    <w:uiPriority w:val="99"/>
    <w:rsid w:val="001A5067"/>
    <w:pPr>
      <w:keepNext/>
      <w:keepLines/>
      <w:spacing w:before="240" w:line="240" w:lineRule="auto"/>
    </w:pPr>
    <w:rPr>
      <w:color w:val="2F2F2F"/>
      <w:sz w:val="24"/>
      <w:szCs w:val="24"/>
    </w:rPr>
  </w:style>
  <w:style w:type="paragraph" w:customStyle="1" w:styleId="ECHRHeading4">
    <w:name w:val="ECHR_Heading_4"/>
    <w:aliases w:val="Head_4"/>
    <w:basedOn w:val="Nagwek4"/>
    <w:next w:val="ECHRParaSpaced"/>
    <w:uiPriority w:val="99"/>
    <w:rsid w:val="001A5067"/>
    <w:pPr>
      <w:keepNext/>
      <w:keepLines/>
      <w:spacing w:before="240"/>
    </w:pPr>
    <w:rPr>
      <w:i w:val="0"/>
      <w:iCs w:val="0"/>
      <w:color w:val="5F5F5F"/>
      <w:sz w:val="24"/>
      <w:szCs w:val="24"/>
    </w:rPr>
  </w:style>
  <w:style w:type="paragraph" w:customStyle="1" w:styleId="ECHRHeading5">
    <w:name w:val="ECHR_Heading_5"/>
    <w:aliases w:val="Head_5"/>
    <w:basedOn w:val="Nagwek5"/>
    <w:next w:val="ECHRParaSpaced"/>
    <w:uiPriority w:val="99"/>
    <w:rsid w:val="001A5067"/>
    <w:pPr>
      <w:keepNext/>
      <w:keepLines/>
      <w:spacing w:before="240"/>
    </w:pPr>
    <w:rPr>
      <w:color w:val="5F5F5F"/>
      <w:u w:val="single"/>
    </w:rPr>
  </w:style>
  <w:style w:type="paragraph" w:customStyle="1" w:styleId="ECHRHeading6">
    <w:name w:val="ECHR_Heading_6"/>
    <w:aliases w:val="Head_6"/>
    <w:basedOn w:val="Nagwek6"/>
    <w:next w:val="ECHRParaSpaced"/>
    <w:uiPriority w:val="99"/>
    <w:rsid w:val="001A5067"/>
    <w:pPr>
      <w:keepNext/>
      <w:keepLines/>
      <w:spacing w:before="240" w:line="240" w:lineRule="auto"/>
    </w:pPr>
    <w:rPr>
      <w:color w:val="474747"/>
      <w:sz w:val="20"/>
      <w:szCs w:val="20"/>
    </w:rPr>
  </w:style>
  <w:style w:type="paragraph" w:customStyle="1" w:styleId="ECHRHeading7">
    <w:name w:val="ECHR_Heading_7"/>
    <w:aliases w:val="Head_7"/>
    <w:basedOn w:val="Nagwek7"/>
    <w:next w:val="ECHRParaSpaced"/>
    <w:uiPriority w:val="99"/>
    <w:rsid w:val="001A5067"/>
    <w:pPr>
      <w:keepNext/>
      <w:keepLines/>
      <w:spacing w:before="240"/>
    </w:pPr>
    <w:rPr>
      <w:b/>
      <w:bCs/>
      <w:i w:val="0"/>
      <w:iCs w:val="0"/>
      <w:color w:val="474747"/>
      <w:sz w:val="20"/>
      <w:szCs w:val="20"/>
    </w:rPr>
  </w:style>
  <w:style w:type="paragraph" w:customStyle="1" w:styleId="ECHRLine">
    <w:name w:val="ECHR_Line"/>
    <w:basedOn w:val="NormalJustified"/>
    <w:next w:val="Normalny"/>
    <w:uiPriority w:val="99"/>
    <w:rsid w:val="001A5067"/>
    <w:pPr>
      <w:pBdr>
        <w:bottom w:val="single" w:sz="12" w:space="1" w:color="949494"/>
      </w:pBdr>
      <w:spacing w:after="120"/>
    </w:pPr>
    <w:rPr>
      <w:sz w:val="12"/>
      <w:szCs w:val="12"/>
    </w:rPr>
  </w:style>
  <w:style w:type="table" w:customStyle="1" w:styleId="ECHRListTable">
    <w:name w:val="ECHR_List_Table"/>
    <w:uiPriority w:val="99"/>
    <w:rsid w:val="001A5067"/>
    <w:rPr>
      <w:rFonts w:cs="Calibri"/>
      <w:sz w:val="20"/>
      <w:szCs w:val="20"/>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tblStylePr w:type="firstRow">
      <w:rPr>
        <w:b/>
        <w:bCs/>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paragraph" w:customStyle="1" w:styleId="ECHRNumberedList1">
    <w:name w:val="ECHR_Numbered_List_1"/>
    <w:aliases w:val="Num_1"/>
    <w:basedOn w:val="Normalny"/>
    <w:uiPriority w:val="99"/>
    <w:rsid w:val="001A5067"/>
    <w:pPr>
      <w:numPr>
        <w:numId w:val="31"/>
      </w:numPr>
      <w:spacing w:before="60" w:after="60"/>
    </w:pPr>
    <w:rPr>
      <w:rFonts w:eastAsia="Times New Roman"/>
    </w:rPr>
  </w:style>
  <w:style w:type="paragraph" w:customStyle="1" w:styleId="ECHRNumberedList2">
    <w:name w:val="ECHR_Numbered_List_2"/>
    <w:aliases w:val="Num_2"/>
    <w:basedOn w:val="ECHRNumberedList1"/>
    <w:uiPriority w:val="99"/>
    <w:rsid w:val="001A5067"/>
    <w:pPr>
      <w:numPr>
        <w:ilvl w:val="1"/>
      </w:numPr>
    </w:pPr>
  </w:style>
  <w:style w:type="paragraph" w:customStyle="1" w:styleId="ECHRNumberedList3">
    <w:name w:val="ECHR_Numbered_List_3"/>
    <w:aliases w:val="Num_3"/>
    <w:basedOn w:val="ECHRNumberedList2"/>
    <w:uiPriority w:val="99"/>
    <w:rsid w:val="001A5067"/>
    <w:pPr>
      <w:numPr>
        <w:ilvl w:val="2"/>
      </w:numPr>
    </w:pPr>
  </w:style>
  <w:style w:type="paragraph" w:customStyle="1" w:styleId="ECHRParaSpaced">
    <w:name w:val="ECHR_Para_Spaced"/>
    <w:aliases w:val="Para_Spaced"/>
    <w:basedOn w:val="ECHRPara"/>
    <w:uiPriority w:val="99"/>
    <w:rsid w:val="001A5067"/>
    <w:pPr>
      <w:spacing w:before="120" w:after="120"/>
    </w:pPr>
  </w:style>
  <w:style w:type="paragraph" w:customStyle="1" w:styleId="ECHRParaQuote">
    <w:name w:val="ECHR_Para_Quote"/>
    <w:aliases w:val="Para_Quote"/>
    <w:basedOn w:val="ECHRParaSpaced"/>
    <w:next w:val="ECHRParaSpaced"/>
    <w:uiPriority w:val="99"/>
    <w:rsid w:val="001A5067"/>
    <w:pPr>
      <w:ind w:left="567"/>
    </w:pPr>
  </w:style>
  <w:style w:type="character" w:customStyle="1" w:styleId="ECHRRed">
    <w:name w:val="ECHR_Red"/>
    <w:aliases w:val="Red"/>
    <w:basedOn w:val="Domylnaczcionkaakapitu"/>
    <w:uiPriority w:val="99"/>
    <w:rsid w:val="001A5067"/>
    <w:rPr>
      <w:color w:val="C00000"/>
    </w:rPr>
  </w:style>
  <w:style w:type="paragraph" w:customStyle="1" w:styleId="ECHRSpacer">
    <w:name w:val="ECHR_Spacer"/>
    <w:basedOn w:val="Normalny"/>
    <w:uiPriority w:val="99"/>
    <w:rsid w:val="001A5067"/>
    <w:rPr>
      <w:sz w:val="4"/>
      <w:szCs w:val="4"/>
    </w:rPr>
  </w:style>
  <w:style w:type="table" w:customStyle="1" w:styleId="ECHRTable">
    <w:name w:val="ECHR_Table"/>
    <w:uiPriority w:val="99"/>
    <w:rsid w:val="001A5067"/>
    <w:rPr>
      <w:rFonts w:eastAsia="Times New Roman" w:cs="Calibri"/>
      <w:sz w:val="20"/>
      <w:szCs w:val="20"/>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tblStylePr w:type="firstRow">
      <w:rPr>
        <w:rFonts w:ascii="Calibri" w:hAnsi="Calibri" w:cs="Calibri"/>
        <w:b/>
        <w:bCs/>
        <w:i w:val="0"/>
        <w:iCs w:val="0"/>
        <w:color w:val="474747"/>
        <w:sz w:val="22"/>
        <w:szCs w:val="22"/>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tblStylePr w:type="firstCol">
      <w:rPr>
        <w:b/>
        <w:bCs/>
      </w:rPr>
    </w:tblStylePr>
    <w:tblStylePr w:type="band2Vert">
      <w:tblPr/>
      <w:tcPr>
        <w:tcBorders>
          <w:top w:val="nil"/>
          <w:left w:val="nil"/>
          <w:bottom w:val="nil"/>
          <w:right w:val="nil"/>
          <w:insideH w:val="nil"/>
          <w:insideV w:val="nil"/>
          <w:tl2br w:val="nil"/>
          <w:tr2bl w:val="nil"/>
        </w:tcBorders>
        <w:shd w:val="clear" w:color="auto" w:fill="DFDFDF"/>
      </w:tcPr>
    </w:tblStylePr>
    <w:tblStylePr w:type="band2Horz">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style>
  <w:style w:type="table" w:customStyle="1" w:styleId="ECHRTableBoxHeader">
    <w:name w:val="ECHR_Table_Box_Header"/>
    <w:uiPriority w:val="99"/>
    <w:rsid w:val="001A5067"/>
    <w:rPr>
      <w:rFonts w:ascii="Verdana" w:eastAsia="Times New Roman" w:hAnsi="Verdana" w:cs="Verdana"/>
      <w:sz w:val="20"/>
      <w:szCs w:val="20"/>
    </w:rPr>
    <w:tblPr>
      <w:tblCellMar>
        <w:top w:w="57" w:type="dxa"/>
        <w:left w:w="57" w:type="dxa"/>
        <w:bottom w:w="57" w:type="dxa"/>
        <w:right w:w="57" w:type="dxa"/>
      </w:tblCellMar>
    </w:tblPr>
    <w:tcPr>
      <w:shd w:val="clear" w:color="auto" w:fill="F8F8F8"/>
    </w:tcPr>
    <w:tblStylePr w:type="firstCol">
      <w:rPr>
        <w:b/>
        <w:bCs/>
        <w:color w:val="5F5F5F"/>
      </w:rPr>
    </w:tblStylePr>
  </w:style>
  <w:style w:type="table" w:customStyle="1" w:styleId="ECHRTableFax">
    <w:name w:val="ECHR_Table_Fax"/>
    <w:uiPriority w:val="99"/>
    <w:rsid w:val="001A5067"/>
    <w:rPr>
      <w:rFonts w:cs="Calibri"/>
      <w:color w:val="000000"/>
      <w:sz w:val="20"/>
      <w:szCs w:val="20"/>
    </w:rPr>
    <w:tblPr>
      <w:tblBorders>
        <w:insideH w:val="single" w:sz="4" w:space="0" w:color="C6C6C6"/>
        <w:insideV w:val="single" w:sz="4" w:space="0" w:color="C6C6C6"/>
      </w:tblBorders>
      <w:tblCellMar>
        <w:top w:w="142" w:type="dxa"/>
        <w:left w:w="108" w:type="dxa"/>
        <w:bottom w:w="142" w:type="dxa"/>
        <w:right w:w="108" w:type="dxa"/>
      </w:tblCellMar>
    </w:tblPr>
    <w:trPr>
      <w:cantSplit/>
    </w:trPr>
  </w:style>
  <w:style w:type="table" w:customStyle="1" w:styleId="ECHRTableForInternalUse">
    <w:name w:val="ECHR_Table_For_Internal_Use"/>
    <w:uiPriority w:val="99"/>
    <w:rsid w:val="001A5067"/>
    <w:rPr>
      <w:rFonts w:cs="Calibri"/>
      <w:color w:val="636363"/>
      <w:sz w:val="18"/>
      <w:szCs w:val="18"/>
    </w:rPr>
    <w:tblPr>
      <w:tblStyleColBandSize w:val="1"/>
      <w:jc w:val="right"/>
      <w:tblCellMar>
        <w:top w:w="113" w:type="dxa"/>
        <w:left w:w="108" w:type="dxa"/>
        <w:bottom w:w="28" w:type="dxa"/>
        <w:right w:w="108" w:type="dxa"/>
      </w:tblCellMar>
    </w:tblPr>
    <w:trPr>
      <w:jc w:val="right"/>
    </w:trPr>
    <w:tblStylePr w:type="firstRow">
      <w:rPr>
        <w:b/>
        <w:bCs/>
      </w:rPr>
    </w:tblStylePr>
    <w:tblStylePr w:type="lastCol">
      <w:pPr>
        <w:jc w:val="right"/>
      </w:p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tblStylePr w:type="band1Vert">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style>
  <w:style w:type="table" w:customStyle="1" w:styleId="ECHRTableMemo">
    <w:name w:val="ECHR_Table_Memo"/>
    <w:uiPriority w:val="99"/>
    <w:rsid w:val="001A5067"/>
    <w:rPr>
      <w:rFonts w:cs="Calibri"/>
      <w:sz w:val="20"/>
      <w:szCs w:val="20"/>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right w:val="nil"/>
          <w:insideH w:val="nil"/>
          <w:insideV w:val="nil"/>
          <w:tl2br w:val="nil"/>
          <w:tr2bl w:val="nil"/>
        </w:tcBorders>
      </w:tcPr>
    </w:tblStylePr>
  </w:style>
  <w:style w:type="table" w:customStyle="1" w:styleId="ECHRTableNoLines">
    <w:name w:val="ECHR_Table_No_Lines"/>
    <w:uiPriority w:val="99"/>
    <w:rsid w:val="001A5067"/>
    <w:rPr>
      <w:rFonts w:cs="Calibri"/>
      <w:sz w:val="20"/>
      <w:szCs w:val="20"/>
    </w:rPr>
    <w:tblPr>
      <w:tblCellMar>
        <w:top w:w="85" w:type="dxa"/>
        <w:left w:w="142" w:type="dxa"/>
        <w:bottom w:w="28" w:type="dxa"/>
        <w:right w:w="142" w:type="dxa"/>
      </w:tblCellMar>
    </w:tblPr>
    <w:tblStylePr w:type="firstRow">
      <w:rPr>
        <w:rFonts w:ascii="Calibri" w:hAnsi="Calibri" w:cs="Calibri"/>
        <w:b/>
        <w:bCs/>
        <w:i w:val="0"/>
        <w:iCs w:val="0"/>
        <w:color w:val="474747"/>
        <w:sz w:val="24"/>
        <w:szCs w:val="24"/>
      </w:rPr>
      <w:tblPr/>
      <w:tcPr>
        <w:tcBorders>
          <w:top w:val="single" w:sz="4" w:space="0" w:color="949494"/>
          <w:left w:val="single" w:sz="4" w:space="0" w:color="949494"/>
          <w:bottom w:val="single" w:sz="4" w:space="0" w:color="949494"/>
          <w:right w:val="single" w:sz="4" w:space="0" w:color="949494"/>
          <w:insideH w:val="nil"/>
          <w:insideV w:val="nil"/>
          <w:tl2br w:val="nil"/>
          <w:tr2bl w:val="nil"/>
        </w:tcBorders>
        <w:shd w:val="clear" w:color="auto" w:fill="DFDFDF"/>
      </w:tcPr>
    </w:tblStylePr>
    <w:tblStylePr w:type="firstCol">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tcPr>
    </w:tblStylePr>
  </w:style>
  <w:style w:type="table" w:customStyle="1" w:styleId="ECHRTableOddBanded">
    <w:name w:val="ECHR_Table_Odd_Banded"/>
    <w:uiPriority w:val="99"/>
    <w:rsid w:val="001A5067"/>
    <w:rPr>
      <w:rFonts w:cs="Calibri"/>
      <w:sz w:val="20"/>
      <w:szCs w:val="20"/>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tblStylePr w:type="firstRow">
      <w:rPr>
        <w:rFonts w:ascii="Calibri" w:hAnsi="Calibri" w:cs="Calibri"/>
        <w:b/>
        <w:bCs/>
        <w:i w:val="0"/>
        <w:iCs w:val="0"/>
        <w:color w:val="474747"/>
        <w:sz w:val="22"/>
        <w:szCs w:val="22"/>
      </w:rPr>
      <w:tblPr/>
      <w:tcPr>
        <w:tcBorders>
          <w:top w:val="single" w:sz="4" w:space="0" w:color="949494"/>
          <w:left w:val="single" w:sz="4" w:space="0" w:color="949494"/>
          <w:bottom w:val="single" w:sz="4" w:space="0" w:color="949494"/>
          <w:right w:val="single" w:sz="4" w:space="0" w:color="949494"/>
          <w:insideH w:val="nil"/>
          <w:insideV w:val="single" w:sz="4" w:space="0" w:color="949494"/>
          <w:tl2br w:val="nil"/>
          <w:tr2bl w:val="nil"/>
        </w:tcBorders>
        <w:shd w:val="clear" w:color="auto" w:fill="DFDFDF"/>
      </w:tcPr>
    </w:tblStylePr>
    <w:tblStylePr w:type="band1Vert">
      <w:tblPr/>
      <w:tcPr>
        <w:tcBorders>
          <w:top w:val="nil"/>
          <w:left w:val="nil"/>
          <w:bottom w:val="nil"/>
          <w:right w:val="nil"/>
          <w:insideH w:val="nil"/>
          <w:insideV w:val="nil"/>
          <w:tl2br w:val="nil"/>
          <w:tr2bl w:val="nil"/>
        </w:tcBorders>
        <w:shd w:val="clear" w:color="auto" w:fill="DFDFDF"/>
      </w:tcPr>
    </w:tblStylePr>
    <w:tblStylePr w:type="band1Horz">
      <w:rPr>
        <w:b/>
        <w:bCs/>
      </w:rPr>
      <w:tblPr/>
      <w:tcPr>
        <w:shd w:val="clear" w:color="auto" w:fill="DFDFDF"/>
      </w:tcPr>
    </w:tblStylePr>
  </w:style>
  <w:style w:type="table" w:customStyle="1" w:styleId="ECHRTableSimpleBox">
    <w:name w:val="ECHR_Table_Simple_Box"/>
    <w:uiPriority w:val="99"/>
    <w:rsid w:val="001A5067"/>
    <w:rPr>
      <w:rFonts w:cs="Calibri"/>
      <w:sz w:val="20"/>
      <w:szCs w:val="20"/>
    </w:rPr>
    <w:tblPr>
      <w:tblBorders>
        <w:top w:val="single" w:sz="4" w:space="0" w:color="9F9F9F"/>
        <w:left w:val="single" w:sz="4" w:space="0" w:color="9F9F9F"/>
        <w:bottom w:val="single" w:sz="4" w:space="0" w:color="9F9F9F"/>
        <w:right w:val="single" w:sz="4" w:space="0" w:color="9F9F9F"/>
      </w:tblBorders>
      <w:tblCellMar>
        <w:top w:w="113" w:type="dxa"/>
        <w:left w:w="108" w:type="dxa"/>
        <w:bottom w:w="113" w:type="dxa"/>
        <w:right w:w="108" w:type="dxa"/>
      </w:tblCellMar>
    </w:tblPr>
  </w:style>
  <w:style w:type="paragraph" w:customStyle="1" w:styleId="ECHRTitle1">
    <w:name w:val="ECHR_Title_1"/>
    <w:aliases w:val="Title_L_1"/>
    <w:basedOn w:val="Normalny"/>
    <w:next w:val="ECHRParaSpaced"/>
    <w:uiPriority w:val="99"/>
    <w:rsid w:val="001A5067"/>
    <w:pPr>
      <w:keepNext/>
      <w:keepLines/>
      <w:spacing w:before="240"/>
    </w:pPr>
    <w:rPr>
      <w:b/>
      <w:bCs/>
      <w:color w:val="2F2F2F"/>
      <w:sz w:val="32"/>
      <w:szCs w:val="32"/>
    </w:rPr>
  </w:style>
  <w:style w:type="paragraph" w:customStyle="1" w:styleId="ECHRTitle2">
    <w:name w:val="ECHR_Title_2"/>
    <w:aliases w:val="Title_L_2"/>
    <w:basedOn w:val="Normalny"/>
    <w:next w:val="ECHRParaSpaced"/>
    <w:uiPriority w:val="99"/>
    <w:rsid w:val="001A5067"/>
    <w:pPr>
      <w:keepNext/>
      <w:keepLines/>
      <w:spacing w:before="240"/>
    </w:pPr>
    <w:rPr>
      <w:b/>
      <w:bCs/>
      <w:color w:val="474747"/>
      <w:sz w:val="28"/>
      <w:szCs w:val="28"/>
    </w:rPr>
  </w:style>
  <w:style w:type="paragraph" w:customStyle="1" w:styleId="ECHRTitle3">
    <w:name w:val="ECHR_Title_3"/>
    <w:aliases w:val="Title_L_3"/>
    <w:basedOn w:val="Normalny"/>
    <w:next w:val="ECHRParaSpaced"/>
    <w:uiPriority w:val="99"/>
    <w:rsid w:val="001A5067"/>
    <w:pPr>
      <w:keepNext/>
      <w:keepLines/>
      <w:spacing w:before="240"/>
    </w:pPr>
    <w:rPr>
      <w:b/>
      <w:bCs/>
      <w:color w:val="474747"/>
      <w:sz w:val="24"/>
      <w:szCs w:val="24"/>
    </w:rPr>
  </w:style>
  <w:style w:type="paragraph" w:customStyle="1" w:styleId="ECHRTitleCentre1">
    <w:name w:val="ECHR_Title_Centre_1"/>
    <w:aliases w:val="Title_C_1"/>
    <w:basedOn w:val="Normalny"/>
    <w:next w:val="ECHRParaSpaced"/>
    <w:uiPriority w:val="99"/>
    <w:rsid w:val="001A5067"/>
    <w:pPr>
      <w:keepNext/>
      <w:keepLines/>
      <w:spacing w:before="240"/>
      <w:jc w:val="center"/>
    </w:pPr>
    <w:rPr>
      <w:b/>
      <w:bCs/>
      <w:color w:val="2F2F2F"/>
      <w:sz w:val="32"/>
      <w:szCs w:val="32"/>
    </w:rPr>
  </w:style>
  <w:style w:type="paragraph" w:customStyle="1" w:styleId="ECHRTitleCentre2">
    <w:name w:val="ECHR_Title_Centre_2"/>
    <w:aliases w:val="Title_C_2"/>
    <w:basedOn w:val="Normalny"/>
    <w:next w:val="ECHRParaSpaced"/>
    <w:uiPriority w:val="99"/>
    <w:rsid w:val="001A5067"/>
    <w:pPr>
      <w:keepNext/>
      <w:keepLines/>
      <w:spacing w:before="240"/>
      <w:jc w:val="center"/>
    </w:pPr>
    <w:rPr>
      <w:b/>
      <w:bCs/>
      <w:color w:val="474747"/>
      <w:sz w:val="28"/>
      <w:szCs w:val="28"/>
    </w:rPr>
  </w:style>
  <w:style w:type="paragraph" w:customStyle="1" w:styleId="ECHRTitleCentre3">
    <w:name w:val="ECHR_Title_Centre_3"/>
    <w:aliases w:val="Title_C_3"/>
    <w:basedOn w:val="Normalny"/>
    <w:next w:val="ECHRParaSpaced"/>
    <w:uiPriority w:val="99"/>
    <w:rsid w:val="001A5067"/>
    <w:pPr>
      <w:keepNext/>
      <w:keepLines/>
      <w:spacing w:before="240"/>
      <w:jc w:val="center"/>
    </w:pPr>
    <w:rPr>
      <w:b/>
      <w:bCs/>
      <w:color w:val="474747"/>
      <w:sz w:val="24"/>
      <w:szCs w:val="24"/>
    </w:rPr>
  </w:style>
  <w:style w:type="paragraph" w:customStyle="1" w:styleId="ECHRTitleCentreTOC1">
    <w:name w:val="ECHR_Title_Centre_TOC_1"/>
    <w:aliases w:val="Title_C_TOC"/>
    <w:basedOn w:val="ECHRTitleCentre1"/>
    <w:next w:val="ECHRHeading1"/>
    <w:uiPriority w:val="99"/>
    <w:rsid w:val="001A5067"/>
    <w:pPr>
      <w:outlineLvl w:val="0"/>
    </w:pPr>
  </w:style>
  <w:style w:type="paragraph" w:customStyle="1" w:styleId="ECHRTitleTOC1">
    <w:name w:val="ECHR_Title_TOC_1"/>
    <w:aliases w:val="Title_L_TOC"/>
    <w:basedOn w:val="ECHRTitle1"/>
    <w:next w:val="ECHRHeading1"/>
    <w:uiPriority w:val="99"/>
    <w:rsid w:val="001A5067"/>
    <w:pPr>
      <w:outlineLvl w:val="0"/>
    </w:pPr>
  </w:style>
  <w:style w:type="character" w:styleId="Uwydatnienie">
    <w:name w:val="Emphasis"/>
    <w:basedOn w:val="Domylnaczcionkaakapitu"/>
    <w:uiPriority w:val="99"/>
    <w:qFormat/>
    <w:rsid w:val="001A5067"/>
    <w:rPr>
      <w:b/>
      <w:bCs/>
      <w:i/>
      <w:iCs/>
      <w:spacing w:val="10"/>
      <w:shd w:val="clear" w:color="auto" w:fill="auto"/>
    </w:rPr>
  </w:style>
  <w:style w:type="character" w:styleId="Odwoanieprzypisudolnego">
    <w:name w:val="footnote reference"/>
    <w:basedOn w:val="Domylnaczcionkaakapitu"/>
    <w:uiPriority w:val="99"/>
    <w:semiHidden/>
    <w:rsid w:val="001A5067"/>
    <w:rPr>
      <w:vertAlign w:val="superscript"/>
    </w:rPr>
  </w:style>
  <w:style w:type="paragraph" w:styleId="Tekstprzypisudolnego">
    <w:name w:val="footnote text"/>
    <w:aliases w:val="Footnote Text Char Char Char Char,FA,FA Fußnotentext,Note de bas de page Car Car"/>
    <w:basedOn w:val="NormalJustified"/>
    <w:link w:val="TekstprzypisudolnegoZnak"/>
    <w:uiPriority w:val="99"/>
    <w:semiHidden/>
    <w:rsid w:val="001A5067"/>
    <w:rPr>
      <w:sz w:val="20"/>
      <w:szCs w:val="20"/>
    </w:rPr>
  </w:style>
  <w:style w:type="character" w:customStyle="1" w:styleId="TekstprzypisudolnegoZnak">
    <w:name w:val="Tekst przypisu dolnego Znak"/>
    <w:aliases w:val="Footnote Text Char Char Char Char Znak,FA Znak,FA Fußnotentext Znak,Note de bas de page Car Car Znak"/>
    <w:basedOn w:val="Domylnaczcionkaakapitu"/>
    <w:link w:val="Tekstprzypisudolnego"/>
    <w:uiPriority w:val="99"/>
    <w:semiHidden/>
    <w:locked/>
    <w:rsid w:val="000D523D"/>
    <w:rPr>
      <w:sz w:val="20"/>
      <w:szCs w:val="20"/>
    </w:rPr>
  </w:style>
  <w:style w:type="character" w:styleId="Hipercze">
    <w:name w:val="Hyperlink"/>
    <w:basedOn w:val="Domylnaczcionkaakapitu"/>
    <w:uiPriority w:val="99"/>
    <w:rsid w:val="001A5067"/>
    <w:rPr>
      <w:color w:val="0072BC"/>
      <w:u w:val="single"/>
    </w:rPr>
  </w:style>
  <w:style w:type="character" w:styleId="Wyrnienieintensywne">
    <w:name w:val="Intense Emphasis"/>
    <w:basedOn w:val="Domylnaczcionkaakapitu"/>
    <w:uiPriority w:val="99"/>
    <w:qFormat/>
    <w:rsid w:val="001A5067"/>
    <w:rPr>
      <w:b/>
      <w:bCs/>
    </w:rPr>
  </w:style>
  <w:style w:type="paragraph" w:styleId="Cytatintensywny">
    <w:name w:val="Intense Quote"/>
    <w:basedOn w:val="Normalny"/>
    <w:next w:val="Normalny"/>
    <w:link w:val="CytatintensywnyZnak"/>
    <w:uiPriority w:val="99"/>
    <w:qFormat/>
    <w:rsid w:val="001A5067"/>
    <w:pPr>
      <w:pBdr>
        <w:bottom w:val="single" w:sz="4" w:space="1" w:color="auto"/>
      </w:pBdr>
      <w:spacing w:before="200" w:after="280"/>
      <w:ind w:left="1008" w:right="1152"/>
    </w:pPr>
    <w:rPr>
      <w:b/>
      <w:bCs/>
      <w:i/>
      <w:iCs/>
    </w:rPr>
  </w:style>
  <w:style w:type="character" w:customStyle="1" w:styleId="CytatintensywnyZnak">
    <w:name w:val="Cytat intensywny Znak"/>
    <w:basedOn w:val="Domylnaczcionkaakapitu"/>
    <w:link w:val="Cytatintensywny"/>
    <w:uiPriority w:val="99"/>
    <w:locked/>
    <w:rsid w:val="000D523D"/>
    <w:rPr>
      <w:b/>
      <w:bCs/>
      <w:i/>
      <w:iCs/>
    </w:rPr>
  </w:style>
  <w:style w:type="character" w:styleId="Odwoanieintensywne">
    <w:name w:val="Intense Reference"/>
    <w:basedOn w:val="Domylnaczcionkaakapitu"/>
    <w:uiPriority w:val="99"/>
    <w:qFormat/>
    <w:rsid w:val="001A5067"/>
    <w:rPr>
      <w:smallCaps/>
      <w:spacing w:val="5"/>
      <w:u w:val="single"/>
    </w:rPr>
  </w:style>
  <w:style w:type="paragraph" w:styleId="Akapitzlist">
    <w:name w:val="List Paragraph"/>
    <w:basedOn w:val="Normalny"/>
    <w:uiPriority w:val="99"/>
    <w:qFormat/>
    <w:rsid w:val="001A5067"/>
    <w:pPr>
      <w:ind w:left="720"/>
    </w:pPr>
  </w:style>
  <w:style w:type="table" w:customStyle="1" w:styleId="LtrTableAddress">
    <w:name w:val="Ltr_Table_Address"/>
    <w:uiPriority w:val="99"/>
    <w:rsid w:val="001A5067"/>
    <w:rPr>
      <w:rFonts w:cs="Calibri"/>
      <w:sz w:val="20"/>
      <w:szCs w:val="20"/>
    </w:rPr>
    <w:tblPr>
      <w:tblCellMar>
        <w:top w:w="0" w:type="dxa"/>
        <w:left w:w="108" w:type="dxa"/>
        <w:bottom w:w="0" w:type="dxa"/>
        <w:right w:w="108" w:type="dxa"/>
      </w:tblCellMar>
    </w:tblPr>
  </w:style>
  <w:style w:type="paragraph" w:styleId="Bezodstpw">
    <w:name w:val="No Spacing"/>
    <w:basedOn w:val="Normalny"/>
    <w:link w:val="BezodstpwZnak"/>
    <w:uiPriority w:val="99"/>
    <w:qFormat/>
    <w:rsid w:val="001A5067"/>
  </w:style>
  <w:style w:type="character" w:customStyle="1" w:styleId="BezodstpwZnak">
    <w:name w:val="Bez odstępów Znak"/>
    <w:basedOn w:val="Domylnaczcionkaakapitu"/>
    <w:link w:val="Bezodstpw"/>
    <w:uiPriority w:val="99"/>
    <w:locked/>
    <w:rsid w:val="000D523D"/>
  </w:style>
  <w:style w:type="table" w:customStyle="1" w:styleId="PCFTableStyle">
    <w:name w:val="PCF_Table_Style"/>
    <w:uiPriority w:val="99"/>
    <w:rsid w:val="001A5067"/>
    <w:rPr>
      <w:rFonts w:cs="Calibri"/>
      <w:color w:val="000000"/>
      <w:sz w:val="18"/>
      <w:szCs w:val="18"/>
    </w:rPr>
    <w:tblPr>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CellMar>
        <w:top w:w="0" w:type="dxa"/>
        <w:left w:w="108" w:type="dxa"/>
        <w:bottom w:w="0" w:type="dxa"/>
        <w:right w:w="108" w:type="dxa"/>
      </w:tblCellMar>
    </w:tblPr>
    <w:tblStylePr w:type="firstRow">
      <w:pPr>
        <w:spacing w:beforeLines="0" w:beforeAutospacing="0" w:afterLines="0" w:afterAutospacing="0"/>
        <w:jc w:val="center"/>
      </w:pPr>
      <w:rPr>
        <w:b/>
        <w:bCs/>
        <w:i w:val="0"/>
        <w:iCs w:val="0"/>
        <w:color w:val="FFFFFF"/>
        <w:sz w:val="20"/>
        <w:szCs w:val="20"/>
      </w:rPr>
      <w:tblPr/>
      <w:tcPr>
        <w:tcBorders>
          <w:top w:val="nil"/>
          <w:left w:val="nil"/>
          <w:bottom w:val="nil"/>
          <w:right w:val="nil"/>
          <w:insideH w:val="nil"/>
          <w:insideV w:val="nil"/>
          <w:tl2br w:val="nil"/>
          <w:tr2bl w:val="nil"/>
        </w:tcBorders>
        <w:shd w:val="clear" w:color="auto" w:fill="0072BC"/>
      </w:tcPr>
    </w:tblStylePr>
    <w:tblStylePr w:type="firstCol">
      <w:pPr>
        <w:jc w:val="left"/>
      </w:pPr>
    </w:tblStylePr>
  </w:style>
  <w:style w:type="character" w:styleId="Tekstzastpczy">
    <w:name w:val="Placeholder Text"/>
    <w:basedOn w:val="Domylnaczcionkaakapitu"/>
    <w:uiPriority w:val="99"/>
    <w:rsid w:val="001A5067"/>
    <w:rPr>
      <w:color w:val="auto"/>
      <w:shd w:val="clear" w:color="auto" w:fill="auto"/>
    </w:rPr>
  </w:style>
  <w:style w:type="paragraph" w:styleId="Cytat">
    <w:name w:val="Quote"/>
    <w:basedOn w:val="Normalny"/>
    <w:next w:val="Normalny"/>
    <w:link w:val="CytatZnak"/>
    <w:uiPriority w:val="99"/>
    <w:qFormat/>
    <w:rsid w:val="001A5067"/>
    <w:pPr>
      <w:spacing w:before="200"/>
      <w:ind w:left="360" w:right="360"/>
    </w:pPr>
    <w:rPr>
      <w:i/>
      <w:iCs/>
    </w:rPr>
  </w:style>
  <w:style w:type="character" w:customStyle="1" w:styleId="CytatZnak">
    <w:name w:val="Cytat Znak"/>
    <w:basedOn w:val="Domylnaczcionkaakapitu"/>
    <w:link w:val="Cytat"/>
    <w:uiPriority w:val="99"/>
    <w:locked/>
    <w:rsid w:val="000D523D"/>
    <w:rPr>
      <w:i/>
      <w:iCs/>
    </w:rPr>
  </w:style>
  <w:style w:type="character" w:styleId="Pogrubienie">
    <w:name w:val="Strong"/>
    <w:basedOn w:val="Domylnaczcionkaakapitu"/>
    <w:uiPriority w:val="99"/>
    <w:qFormat/>
    <w:rsid w:val="001A5067"/>
    <w:rPr>
      <w:b/>
      <w:bCs/>
    </w:rPr>
  </w:style>
  <w:style w:type="character" w:styleId="Wyrnieniedelikatne">
    <w:name w:val="Subtle Emphasis"/>
    <w:basedOn w:val="Domylnaczcionkaakapitu"/>
    <w:uiPriority w:val="99"/>
    <w:qFormat/>
    <w:rsid w:val="001A5067"/>
    <w:rPr>
      <w:i/>
      <w:iCs/>
    </w:rPr>
  </w:style>
  <w:style w:type="character" w:styleId="Odwoaniedelikatne">
    <w:name w:val="Subtle Reference"/>
    <w:basedOn w:val="Domylnaczcionkaakapitu"/>
    <w:uiPriority w:val="99"/>
    <w:qFormat/>
    <w:rsid w:val="001A5067"/>
    <w:rPr>
      <w:smallCaps/>
    </w:rPr>
  </w:style>
  <w:style w:type="table" w:styleId="Tabela-Siatka">
    <w:name w:val="Table Grid"/>
    <w:basedOn w:val="Standardowy"/>
    <w:uiPriority w:val="99"/>
    <w:rsid w:val="001A5067"/>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99"/>
    <w:qFormat/>
    <w:rsid w:val="001A5067"/>
    <w:pPr>
      <w:pBdr>
        <w:bottom w:val="single" w:sz="4" w:space="1" w:color="auto"/>
      </w:pBdr>
    </w:pPr>
    <w:rPr>
      <w:rFonts w:eastAsia="Times New Roman"/>
      <w:spacing w:val="5"/>
      <w:sz w:val="52"/>
      <w:szCs w:val="52"/>
    </w:rPr>
  </w:style>
  <w:style w:type="character" w:customStyle="1" w:styleId="TytuZnak">
    <w:name w:val="Tytuł Znak"/>
    <w:basedOn w:val="Domylnaczcionkaakapitu"/>
    <w:link w:val="Tytu"/>
    <w:uiPriority w:val="99"/>
    <w:locked/>
    <w:rsid w:val="000D523D"/>
    <w:rPr>
      <w:rFonts w:ascii="Calibri" w:hAnsi="Calibri" w:cs="Calibri"/>
      <w:spacing w:val="5"/>
      <w:sz w:val="52"/>
      <w:szCs w:val="52"/>
    </w:rPr>
  </w:style>
  <w:style w:type="paragraph" w:styleId="Nagwekwykazurde">
    <w:name w:val="toa heading"/>
    <w:basedOn w:val="ECHRTitleCentre2"/>
    <w:next w:val="Normalny"/>
    <w:uiPriority w:val="99"/>
    <w:semiHidden/>
    <w:rsid w:val="001A5067"/>
    <w:rPr>
      <w:rFonts w:eastAsia="Times New Roman"/>
    </w:rPr>
  </w:style>
  <w:style w:type="paragraph" w:styleId="Spistreci1">
    <w:name w:val="toc 1"/>
    <w:basedOn w:val="Normalny"/>
    <w:next w:val="Normalny"/>
    <w:autoRedefine/>
    <w:uiPriority w:val="99"/>
    <w:semiHidden/>
    <w:rsid w:val="00C766BA"/>
    <w:pPr>
      <w:tabs>
        <w:tab w:val="right" w:leader="dot" w:pos="9017"/>
      </w:tabs>
      <w:spacing w:before="120" w:after="60"/>
      <w:ind w:left="340" w:right="340" w:hanging="340"/>
    </w:pPr>
    <w:rPr>
      <w:b/>
      <w:bCs/>
      <w:noProof/>
      <w:color w:val="0D0D0D"/>
    </w:rPr>
  </w:style>
  <w:style w:type="paragraph" w:styleId="Spistreci2">
    <w:name w:val="toc 2"/>
    <w:basedOn w:val="Normalny"/>
    <w:next w:val="Normalny"/>
    <w:autoRedefine/>
    <w:uiPriority w:val="99"/>
    <w:semiHidden/>
    <w:rsid w:val="001A5067"/>
    <w:pPr>
      <w:spacing w:after="60"/>
      <w:ind w:left="680" w:right="340" w:hanging="340"/>
    </w:pPr>
  </w:style>
  <w:style w:type="paragraph" w:styleId="Spistreci3">
    <w:name w:val="toc 3"/>
    <w:basedOn w:val="Normalny"/>
    <w:next w:val="Normalny"/>
    <w:autoRedefine/>
    <w:uiPriority w:val="99"/>
    <w:semiHidden/>
    <w:rsid w:val="001A5067"/>
    <w:pPr>
      <w:spacing w:after="60"/>
      <w:ind w:left="1020" w:right="340" w:hanging="340"/>
    </w:pPr>
  </w:style>
  <w:style w:type="paragraph" w:styleId="Spistreci4">
    <w:name w:val="toc 4"/>
    <w:basedOn w:val="Normalny"/>
    <w:next w:val="Normalny"/>
    <w:autoRedefine/>
    <w:uiPriority w:val="99"/>
    <w:semiHidden/>
    <w:rsid w:val="001A5067"/>
    <w:pPr>
      <w:tabs>
        <w:tab w:val="right" w:leader="dot" w:pos="9017"/>
      </w:tabs>
      <w:spacing w:after="60"/>
      <w:ind w:left="1361" w:right="340" w:hanging="340"/>
    </w:pPr>
  </w:style>
  <w:style w:type="paragraph" w:styleId="Spistreci5">
    <w:name w:val="toc 5"/>
    <w:basedOn w:val="Normalny"/>
    <w:next w:val="Normalny"/>
    <w:autoRedefine/>
    <w:uiPriority w:val="99"/>
    <w:semiHidden/>
    <w:rsid w:val="001A5067"/>
    <w:pPr>
      <w:spacing w:after="60"/>
      <w:ind w:left="1701" w:right="340" w:hanging="340"/>
    </w:pPr>
  </w:style>
  <w:style w:type="paragraph" w:styleId="Nagwekspisutreci">
    <w:name w:val="TOC Heading"/>
    <w:basedOn w:val="ECHRTitleCentre2"/>
    <w:next w:val="Normalny"/>
    <w:uiPriority w:val="99"/>
    <w:qFormat/>
    <w:rsid w:val="001A5067"/>
  </w:style>
  <w:style w:type="table" w:customStyle="1" w:styleId="UGTable">
    <w:name w:val="UG_Table"/>
    <w:uiPriority w:val="99"/>
    <w:rsid w:val="001A5067"/>
    <w:rPr>
      <w:rFonts w:eastAsia="Times New Roman" w:cs="Calibri"/>
      <w:sz w:val="20"/>
      <w:szCs w:val="20"/>
      <w:lang w:eastAsia="en-GB"/>
    </w:rPr>
    <w:tblPr>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uiPriority w:val="99"/>
    <w:rsid w:val="001A5067"/>
    <w:rPr>
      <w:rFonts w:eastAsia="Times New Roman" w:cs="Calibri"/>
      <w:sz w:val="20"/>
      <w:szCs w:val="20"/>
      <w:lang w:eastAsia="en-GB"/>
    </w:rPr>
    <w:tblPr>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paragraph" w:customStyle="1" w:styleId="ECHRParaIndent">
    <w:name w:val="ECHR_Para_Indent"/>
    <w:aliases w:val="Para_Indent"/>
    <w:basedOn w:val="ECHRParaSpaced"/>
    <w:uiPriority w:val="99"/>
    <w:rsid w:val="00471989"/>
    <w:pPr>
      <w:ind w:left="567"/>
    </w:pPr>
  </w:style>
  <w:style w:type="paragraph" w:customStyle="1" w:styleId="ECHRParaHanging">
    <w:name w:val="ECHR_Para_Hanging"/>
    <w:aliases w:val="Para_Hanging"/>
    <w:basedOn w:val="ECHRPara"/>
    <w:uiPriority w:val="99"/>
    <w:rsid w:val="00471989"/>
    <w:pPr>
      <w:ind w:left="567" w:hanging="567"/>
    </w:pPr>
  </w:style>
  <w:style w:type="table" w:customStyle="1" w:styleId="ECHRTableGrey">
    <w:name w:val="ECHR_Table_Grey"/>
    <w:uiPriority w:val="99"/>
    <w:rsid w:val="00471989"/>
    <w:pPr>
      <w:tabs>
        <w:tab w:val="left" w:pos="397"/>
      </w:tabs>
    </w:pPr>
    <w:rPr>
      <w:rFonts w:cs="Calibri"/>
      <w:sz w:val="20"/>
      <w:szCs w:val="20"/>
    </w:rPr>
    <w:tblPr>
      <w:jc w:val="center"/>
      <w:tblBorders>
        <w:top w:val="single" w:sz="4" w:space="0" w:color="636363"/>
        <w:left w:val="single" w:sz="4" w:space="0" w:color="636363"/>
        <w:bottom w:val="single" w:sz="4" w:space="0" w:color="636363"/>
        <w:right w:val="single" w:sz="4" w:space="0" w:color="636363"/>
      </w:tblBorders>
      <w:tblCellMar>
        <w:top w:w="142" w:type="dxa"/>
        <w:left w:w="108" w:type="dxa"/>
        <w:bottom w:w="85" w:type="dxa"/>
        <w:right w:w="108" w:type="dxa"/>
      </w:tblCellMar>
    </w:tblPr>
    <w:trPr>
      <w:jc w:val="center"/>
    </w:trPr>
    <w:tcPr>
      <w:shd w:val="clear" w:color="auto" w:fill="F8F8F8"/>
    </w:tcPr>
    <w:tblStylePr w:type="firstRow">
      <w:rPr>
        <w:b/>
        <w:bCs/>
        <w:color w:val="262626"/>
      </w:rPr>
    </w:tblStylePr>
  </w:style>
  <w:style w:type="paragraph" w:customStyle="1" w:styleId="ECHRList1">
    <w:name w:val="ECHR_List_1"/>
    <w:aliases w:val="Num_Left_1"/>
    <w:basedOn w:val="NormalJustified"/>
    <w:uiPriority w:val="99"/>
    <w:rsid w:val="00471989"/>
    <w:pPr>
      <w:numPr>
        <w:numId w:val="34"/>
      </w:numPr>
      <w:spacing w:before="60" w:after="60"/>
    </w:pPr>
  </w:style>
  <w:style w:type="paragraph" w:customStyle="1" w:styleId="ECHRList2">
    <w:name w:val="ECHR_List_2"/>
    <w:aliases w:val="Num_Left_2"/>
    <w:basedOn w:val="ECHRList1"/>
    <w:uiPriority w:val="99"/>
    <w:rsid w:val="00471989"/>
    <w:pPr>
      <w:numPr>
        <w:ilvl w:val="1"/>
      </w:numPr>
    </w:pPr>
  </w:style>
  <w:style w:type="paragraph" w:customStyle="1" w:styleId="ECHRList3">
    <w:name w:val="ECHR_List_3"/>
    <w:aliases w:val="Num_Left_3"/>
    <w:basedOn w:val="ECHRList2"/>
    <w:uiPriority w:val="99"/>
    <w:rsid w:val="00471989"/>
    <w:pPr>
      <w:numPr>
        <w:ilvl w:val="2"/>
      </w:numPr>
    </w:pPr>
  </w:style>
  <w:style w:type="table" w:customStyle="1" w:styleId="ECHRTable2016">
    <w:name w:val="ECHR_Table_2016"/>
    <w:uiPriority w:val="99"/>
    <w:rsid w:val="00471989"/>
    <w:rPr>
      <w:rFonts w:cs="Calibri"/>
      <w:sz w:val="20"/>
      <w:szCs w:val="20"/>
    </w:rPr>
    <w:tblPr>
      <w:tblStyleRowBandSize w:val="1"/>
      <w:tblStyleColBandSize w:val="1"/>
      <w:jc w:val="center"/>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CellMar>
        <w:top w:w="0" w:type="dxa"/>
        <w:left w:w="108" w:type="dxa"/>
        <w:bottom w:w="0" w:type="dxa"/>
        <w:right w:w="108" w:type="dxa"/>
      </w:tblCellMar>
    </w:tblPr>
    <w:trPr>
      <w:jc w:val="center"/>
    </w:trPr>
    <w:tblStylePr w:type="firstRow">
      <w:rPr>
        <w:rFonts w:ascii="Calibri" w:hAnsi="Calibri" w:cs="Calibri"/>
        <w:b/>
        <w:bCs/>
        <w:i w:val="0"/>
        <w:iCs w:val="0"/>
        <w:color w:val="F8F8F8"/>
        <w:sz w:val="22"/>
        <w:szCs w:val="22"/>
      </w:rPr>
      <w:tblPr/>
      <w:trPr>
        <w:tblHeader/>
      </w:trPr>
      <w:tcPr>
        <w:tcBorders>
          <w:top w:val="single" w:sz="4" w:space="0" w:color="5F5F5F"/>
          <w:left w:val="single" w:sz="4" w:space="0" w:color="5F5F5F"/>
          <w:bottom w:val="single" w:sz="4" w:space="0" w:color="5F5F5F"/>
          <w:right w:val="single" w:sz="4" w:space="0" w:color="5F5F5F"/>
          <w:insideH w:val="single" w:sz="4" w:space="0" w:color="5F5F5F"/>
          <w:insideV w:val="single" w:sz="4" w:space="0" w:color="F8F8F8"/>
          <w:tl2br w:val="nil"/>
          <w:tr2bl w:val="nil"/>
        </w:tcBorders>
        <w:shd w:val="clear" w:color="auto" w:fill="5F5F5F"/>
      </w:tcPr>
    </w:tblStylePr>
    <w:tblStylePr w:type="lastRow">
      <w:rPr>
        <w:b/>
        <w:bCs/>
        <w:i w:val="0"/>
        <w:iCs w:val="0"/>
      </w:rPr>
      <w:tblPr/>
      <w:tcPr>
        <w:tcBorders>
          <w:top w:val="single" w:sz="8" w:space="0" w:color="5F5F5F"/>
          <w:left w:val="single" w:sz="4" w:space="0" w:color="5F5F5F"/>
          <w:bottom w:val="single" w:sz="8" w:space="0" w:color="5F5F5F"/>
          <w:right w:val="single" w:sz="4" w:space="0" w:color="5F5F5F"/>
          <w:insideH w:val="nil"/>
          <w:insideV w:val="single" w:sz="4" w:space="0" w:color="5F5F5F"/>
          <w:tl2br w:val="nil"/>
          <w:tr2bl w:val="nil"/>
        </w:tcBorders>
      </w:tcPr>
    </w:tblStylePr>
    <w:tblStylePr w:type="firstCol">
      <w:rPr>
        <w:rFonts w:ascii="Calibri" w:hAnsi="Calibri" w:cs="Calibri"/>
        <w:b/>
        <w:bCs/>
        <w:i w:val="0"/>
        <w:iCs w:val="0"/>
        <w:color w:val="3E3E3E"/>
        <w:sz w:val="22"/>
        <w:szCs w:val="22"/>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lastCol">
      <w:rPr>
        <w:b/>
        <w:bCs/>
        <w:i w:val="0"/>
        <w:iCs w:val="0"/>
      </w:rPr>
    </w:tblStylePr>
    <w:tblStylePr w:type="band2Vert">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band2Horz">
      <w:tblPr/>
      <w:tcPr>
        <w:tcBorders>
          <w:top w:val="single" w:sz="4" w:space="0" w:color="0072BC"/>
          <w:left w:val="single" w:sz="4" w:space="0" w:color="0072BC"/>
          <w:bottom w:val="single" w:sz="4" w:space="0" w:color="0072BC"/>
          <w:right w:val="single" w:sz="4" w:space="0" w:color="0072BC"/>
          <w:insideH w:val="single" w:sz="4" w:space="0" w:color="0072BC"/>
          <w:insideV w:val="single" w:sz="4" w:space="0" w:color="0072BC"/>
          <w:tl2br w:val="nil"/>
          <w:tr2bl w:val="nil"/>
        </w:tcBorders>
        <w:shd w:val="clear" w:color="auto" w:fill="E8E8E8"/>
      </w:tcPr>
    </w:tblStylePr>
  </w:style>
  <w:style w:type="character" w:customStyle="1" w:styleId="ECHRParaChar">
    <w:name w:val="ECHR_Para Char"/>
    <w:aliases w:val="Ju_Para Char"/>
    <w:link w:val="ECHRPara"/>
    <w:uiPriority w:val="99"/>
    <w:locked/>
    <w:rsid w:val="00906E67"/>
    <w:rPr>
      <w:lang w:val="pl-PL"/>
    </w:rPr>
  </w:style>
  <w:style w:type="character" w:styleId="Odwoaniedokomentarza">
    <w:name w:val="annotation reference"/>
    <w:basedOn w:val="Domylnaczcionkaakapitu"/>
    <w:uiPriority w:val="99"/>
    <w:semiHidden/>
    <w:rsid w:val="006F06C2"/>
    <w:rPr>
      <w:sz w:val="16"/>
      <w:szCs w:val="16"/>
    </w:rPr>
  </w:style>
  <w:style w:type="paragraph" w:styleId="Tekstkomentarza">
    <w:name w:val="annotation text"/>
    <w:basedOn w:val="Normalny"/>
    <w:link w:val="TekstkomentarzaZnak"/>
    <w:uiPriority w:val="99"/>
    <w:semiHidden/>
    <w:rsid w:val="006F06C2"/>
    <w:rPr>
      <w:sz w:val="20"/>
      <w:szCs w:val="20"/>
    </w:rPr>
  </w:style>
  <w:style w:type="character" w:customStyle="1" w:styleId="TekstkomentarzaZnak">
    <w:name w:val="Tekst komentarza Znak"/>
    <w:basedOn w:val="Domylnaczcionkaakapitu"/>
    <w:link w:val="Tekstkomentarza"/>
    <w:uiPriority w:val="99"/>
    <w:semiHidden/>
    <w:locked/>
    <w:rsid w:val="0094339A"/>
    <w:rPr>
      <w:lang w:val="pl-PL" w:eastAsia="en-US"/>
    </w:rPr>
  </w:style>
  <w:style w:type="paragraph" w:styleId="Tematkomentarza">
    <w:name w:val="annotation subject"/>
    <w:basedOn w:val="Tekstkomentarza"/>
    <w:next w:val="Tekstkomentarza"/>
    <w:link w:val="TematkomentarzaZnak"/>
    <w:uiPriority w:val="99"/>
    <w:semiHidden/>
    <w:rsid w:val="0094339A"/>
    <w:rPr>
      <w:b/>
      <w:bCs/>
    </w:rPr>
  </w:style>
  <w:style w:type="character" w:customStyle="1" w:styleId="TematkomentarzaZnak">
    <w:name w:val="Temat komentarza Znak"/>
    <w:basedOn w:val="TekstkomentarzaZnak"/>
    <w:link w:val="Tematkomentarza"/>
    <w:uiPriority w:val="99"/>
    <w:semiHidden/>
    <w:locked/>
    <w:rsid w:val="0094339A"/>
    <w:rPr>
      <w:b/>
      <w:bCs/>
      <w:sz w:val="20"/>
      <w:szCs w:val="20"/>
      <w:lang w:val="pl-PL" w:eastAsia="en-US"/>
    </w:rPr>
  </w:style>
  <w:style w:type="character" w:styleId="UyteHipercze">
    <w:name w:val="FollowedHyperlink"/>
    <w:basedOn w:val="Domylnaczcionkaakapitu"/>
    <w:uiPriority w:val="99"/>
    <w:semiHidden/>
    <w:rsid w:val="004148B1"/>
    <w:rPr>
      <w:color w:val="auto"/>
      <w:u w:val="single"/>
    </w:rPr>
  </w:style>
  <w:style w:type="character" w:customStyle="1" w:styleId="sb8d990e2">
    <w:name w:val="sb8d990e2"/>
    <w:basedOn w:val="Domylnaczcionkaakapitu"/>
    <w:uiPriority w:val="99"/>
    <w:rsid w:val="00D37D0A"/>
  </w:style>
  <w:style w:type="character" w:customStyle="1" w:styleId="s6b621b36">
    <w:name w:val="s6b621b36"/>
    <w:basedOn w:val="Domylnaczcionkaakapitu"/>
    <w:uiPriority w:val="99"/>
    <w:rsid w:val="00D37D0A"/>
  </w:style>
  <w:style w:type="paragraph" w:styleId="NormalnyWeb">
    <w:name w:val="Normal (Web)"/>
    <w:basedOn w:val="Normalny"/>
    <w:uiPriority w:val="99"/>
    <w:semiHidden/>
    <w:rsid w:val="00145447"/>
    <w:pPr>
      <w:spacing w:before="100" w:beforeAutospacing="1" w:after="100" w:afterAutospacing="1"/>
    </w:pPr>
    <w:rPr>
      <w:rFonts w:ascii="Times New Roman" w:eastAsia="Times New Roman" w:hAnsi="Times New Roman" w:cs="Times New Roman"/>
      <w:sz w:val="24"/>
      <w:szCs w:val="24"/>
    </w:rPr>
  </w:style>
  <w:style w:type="character" w:customStyle="1" w:styleId="s1a844bc0">
    <w:name w:val="s1a844bc0"/>
    <w:basedOn w:val="Domylnaczcionkaakapitu"/>
    <w:uiPriority w:val="99"/>
    <w:rsid w:val="009C750A"/>
  </w:style>
  <w:style w:type="paragraph" w:customStyle="1" w:styleId="s30eec3f8">
    <w:name w:val="s30eec3f8"/>
    <w:basedOn w:val="Normalny"/>
    <w:uiPriority w:val="99"/>
    <w:rsid w:val="00952402"/>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sfbbfee58">
    <w:name w:val="sfbbfee58"/>
    <w:basedOn w:val="Domylnaczcionkaakapitu"/>
    <w:uiPriority w:val="99"/>
    <w:rsid w:val="001E0AAF"/>
  </w:style>
  <w:style w:type="paragraph" w:styleId="Poprawka">
    <w:name w:val="Revision"/>
    <w:hidden/>
    <w:uiPriority w:val="99"/>
    <w:semiHidden/>
    <w:rsid w:val="00E318D9"/>
    <w:rPr>
      <w:rFonts w:cs="Calibri"/>
      <w:lang w:eastAsia="en-US"/>
    </w:rPr>
  </w:style>
  <w:style w:type="paragraph" w:customStyle="1" w:styleId="s6c429373">
    <w:name w:val="s6c429373"/>
    <w:basedOn w:val="Normalny"/>
    <w:uiPriority w:val="99"/>
    <w:rsid w:val="00E676D7"/>
    <w:pPr>
      <w:spacing w:before="100" w:beforeAutospacing="1" w:after="100" w:afterAutospacing="1"/>
    </w:pPr>
    <w:rPr>
      <w:rFonts w:ascii="Times New Roman" w:eastAsia="Times New Roman" w:hAnsi="Times New Roman" w:cs="Times New Roman"/>
      <w:sz w:val="24"/>
      <w:szCs w:val="24"/>
    </w:rPr>
  </w:style>
  <w:style w:type="character" w:customStyle="1" w:styleId="ECHRFooterChar">
    <w:name w:val="ECHR_Footer Char"/>
    <w:basedOn w:val="Domylnaczcionkaakapitu"/>
    <w:link w:val="ECHRFooter"/>
    <w:uiPriority w:val="99"/>
    <w:locked/>
    <w:rsid w:val="00B94F2A"/>
    <w:rPr>
      <w:sz w:val="8"/>
      <w:szCs w:val="8"/>
      <w:lang w:val="pl-PL"/>
    </w:rPr>
  </w:style>
  <w:style w:type="character" w:customStyle="1" w:styleId="UnresolvedMention">
    <w:name w:val="Unresolved Mention"/>
    <w:basedOn w:val="Domylnaczcionkaakapitu"/>
    <w:uiPriority w:val="99"/>
    <w:semiHidden/>
    <w:rsid w:val="006F2B22"/>
    <w:rPr>
      <w:color w:val="auto"/>
      <w:shd w:val="clear" w:color="auto" w:fill="auto"/>
    </w:rPr>
  </w:style>
  <w:style w:type="character" w:customStyle="1" w:styleId="s4f807e54">
    <w:name w:val="s4f807e54"/>
    <w:uiPriority w:val="99"/>
    <w:rsid w:val="00CE5666"/>
  </w:style>
  <w:style w:type="numbering" w:customStyle="1" w:styleId="ECHRA1StyleList">
    <w:name w:val="ECHR_A1_Style_List"/>
    <w:rsid w:val="00EB6C3C"/>
    <w:pPr>
      <w:numPr>
        <w:numId w:val="33"/>
      </w:numPr>
    </w:pPr>
  </w:style>
  <w:style w:type="numbering" w:customStyle="1" w:styleId="ECHRA1StyleBulletedSquare">
    <w:name w:val="ECHR_A1_Style_Bulleted_Square"/>
    <w:rsid w:val="00EB6C3C"/>
    <w:pPr>
      <w:numPr>
        <w:numId w:val="22"/>
      </w:numPr>
    </w:pPr>
  </w:style>
  <w:style w:type="numbering" w:customStyle="1" w:styleId="ECHRA1StyleNumberedList">
    <w:name w:val="ECHR_A1_Style_Numbered_List"/>
    <w:rsid w:val="00EB6C3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924064">
      <w:marLeft w:val="0"/>
      <w:marRight w:val="0"/>
      <w:marTop w:val="0"/>
      <w:marBottom w:val="0"/>
      <w:divBdr>
        <w:top w:val="none" w:sz="0" w:space="0" w:color="auto"/>
        <w:left w:val="none" w:sz="0" w:space="0" w:color="auto"/>
        <w:bottom w:val="none" w:sz="0" w:space="0" w:color="auto"/>
        <w:right w:val="none" w:sz="0" w:space="0" w:color="auto"/>
      </w:divBdr>
      <w:divsChild>
        <w:div w:id="442924074">
          <w:marLeft w:val="0"/>
          <w:marRight w:val="0"/>
          <w:marTop w:val="0"/>
          <w:marBottom w:val="0"/>
          <w:divBdr>
            <w:top w:val="none" w:sz="0" w:space="0" w:color="auto"/>
            <w:left w:val="none" w:sz="0" w:space="0" w:color="auto"/>
            <w:bottom w:val="none" w:sz="0" w:space="0" w:color="auto"/>
            <w:right w:val="none" w:sz="0" w:space="0" w:color="auto"/>
          </w:divBdr>
          <w:divsChild>
            <w:div w:id="442924090">
              <w:marLeft w:val="0"/>
              <w:marRight w:val="0"/>
              <w:marTop w:val="0"/>
              <w:marBottom w:val="0"/>
              <w:divBdr>
                <w:top w:val="none" w:sz="0" w:space="0" w:color="auto"/>
                <w:left w:val="none" w:sz="0" w:space="0" w:color="auto"/>
                <w:bottom w:val="none" w:sz="0" w:space="0" w:color="auto"/>
                <w:right w:val="none" w:sz="0" w:space="0" w:color="auto"/>
              </w:divBdr>
              <w:divsChild>
                <w:div w:id="442924094">
                  <w:marLeft w:val="0"/>
                  <w:marRight w:val="0"/>
                  <w:marTop w:val="0"/>
                  <w:marBottom w:val="0"/>
                  <w:divBdr>
                    <w:top w:val="none" w:sz="0" w:space="0" w:color="auto"/>
                    <w:left w:val="none" w:sz="0" w:space="0" w:color="auto"/>
                    <w:bottom w:val="none" w:sz="0" w:space="0" w:color="auto"/>
                    <w:right w:val="none" w:sz="0" w:space="0" w:color="auto"/>
                  </w:divBdr>
                  <w:divsChild>
                    <w:div w:id="442924080">
                      <w:marLeft w:val="0"/>
                      <w:marRight w:val="0"/>
                      <w:marTop w:val="0"/>
                      <w:marBottom w:val="0"/>
                      <w:divBdr>
                        <w:top w:val="none" w:sz="0" w:space="0" w:color="auto"/>
                        <w:left w:val="none" w:sz="0" w:space="0" w:color="auto"/>
                        <w:bottom w:val="none" w:sz="0" w:space="0" w:color="auto"/>
                        <w:right w:val="none" w:sz="0" w:space="0" w:color="auto"/>
                      </w:divBdr>
                      <w:divsChild>
                        <w:div w:id="442924058">
                          <w:marLeft w:val="0"/>
                          <w:marRight w:val="0"/>
                          <w:marTop w:val="0"/>
                          <w:marBottom w:val="0"/>
                          <w:divBdr>
                            <w:top w:val="none" w:sz="0" w:space="0" w:color="auto"/>
                            <w:left w:val="none" w:sz="0" w:space="0" w:color="auto"/>
                            <w:bottom w:val="none" w:sz="0" w:space="0" w:color="auto"/>
                            <w:right w:val="none" w:sz="0" w:space="0" w:color="auto"/>
                          </w:divBdr>
                          <w:divsChild>
                            <w:div w:id="442924102">
                              <w:marLeft w:val="0"/>
                              <w:marRight w:val="0"/>
                              <w:marTop w:val="0"/>
                              <w:marBottom w:val="0"/>
                              <w:divBdr>
                                <w:top w:val="none" w:sz="0" w:space="0" w:color="auto"/>
                                <w:left w:val="none" w:sz="0" w:space="0" w:color="auto"/>
                                <w:bottom w:val="none" w:sz="0" w:space="0" w:color="auto"/>
                                <w:right w:val="none" w:sz="0" w:space="0" w:color="auto"/>
                              </w:divBdr>
                              <w:divsChild>
                                <w:div w:id="442924069">
                                  <w:marLeft w:val="0"/>
                                  <w:marRight w:val="0"/>
                                  <w:marTop w:val="0"/>
                                  <w:marBottom w:val="0"/>
                                  <w:divBdr>
                                    <w:top w:val="none" w:sz="0" w:space="0" w:color="auto"/>
                                    <w:left w:val="none" w:sz="0" w:space="0" w:color="auto"/>
                                    <w:bottom w:val="none" w:sz="0" w:space="0" w:color="auto"/>
                                    <w:right w:val="none" w:sz="0" w:space="0" w:color="auto"/>
                                  </w:divBdr>
                                  <w:divsChild>
                                    <w:div w:id="442924059">
                                      <w:marLeft w:val="0"/>
                                      <w:marRight w:val="0"/>
                                      <w:marTop w:val="0"/>
                                      <w:marBottom w:val="0"/>
                                      <w:divBdr>
                                        <w:top w:val="none" w:sz="0" w:space="0" w:color="auto"/>
                                        <w:left w:val="none" w:sz="0" w:space="0" w:color="auto"/>
                                        <w:bottom w:val="none" w:sz="0" w:space="0" w:color="auto"/>
                                        <w:right w:val="none" w:sz="0" w:space="0" w:color="auto"/>
                                      </w:divBdr>
                                      <w:divsChild>
                                        <w:div w:id="442924104">
                                          <w:marLeft w:val="0"/>
                                          <w:marRight w:val="0"/>
                                          <w:marTop w:val="0"/>
                                          <w:marBottom w:val="495"/>
                                          <w:divBdr>
                                            <w:top w:val="none" w:sz="0" w:space="0" w:color="auto"/>
                                            <w:left w:val="none" w:sz="0" w:space="0" w:color="auto"/>
                                            <w:bottom w:val="none" w:sz="0" w:space="0" w:color="auto"/>
                                            <w:right w:val="none" w:sz="0" w:space="0" w:color="auto"/>
                                          </w:divBdr>
                                          <w:divsChild>
                                            <w:div w:id="44292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2924067">
      <w:marLeft w:val="0"/>
      <w:marRight w:val="0"/>
      <w:marTop w:val="0"/>
      <w:marBottom w:val="0"/>
      <w:divBdr>
        <w:top w:val="none" w:sz="0" w:space="0" w:color="auto"/>
        <w:left w:val="none" w:sz="0" w:space="0" w:color="auto"/>
        <w:bottom w:val="none" w:sz="0" w:space="0" w:color="auto"/>
        <w:right w:val="none" w:sz="0" w:space="0" w:color="auto"/>
      </w:divBdr>
      <w:divsChild>
        <w:div w:id="442924087">
          <w:marLeft w:val="0"/>
          <w:marRight w:val="0"/>
          <w:marTop w:val="0"/>
          <w:marBottom w:val="0"/>
          <w:divBdr>
            <w:top w:val="none" w:sz="0" w:space="0" w:color="auto"/>
            <w:left w:val="none" w:sz="0" w:space="0" w:color="auto"/>
            <w:bottom w:val="none" w:sz="0" w:space="0" w:color="auto"/>
            <w:right w:val="none" w:sz="0" w:space="0" w:color="auto"/>
          </w:divBdr>
          <w:divsChild>
            <w:div w:id="442924076">
              <w:marLeft w:val="0"/>
              <w:marRight w:val="0"/>
              <w:marTop w:val="0"/>
              <w:marBottom w:val="0"/>
              <w:divBdr>
                <w:top w:val="none" w:sz="0" w:space="0" w:color="auto"/>
                <w:left w:val="none" w:sz="0" w:space="0" w:color="auto"/>
                <w:bottom w:val="none" w:sz="0" w:space="0" w:color="auto"/>
                <w:right w:val="none" w:sz="0" w:space="0" w:color="auto"/>
              </w:divBdr>
              <w:divsChild>
                <w:div w:id="442924083">
                  <w:marLeft w:val="0"/>
                  <w:marRight w:val="0"/>
                  <w:marTop w:val="0"/>
                  <w:marBottom w:val="0"/>
                  <w:divBdr>
                    <w:top w:val="none" w:sz="0" w:space="0" w:color="auto"/>
                    <w:left w:val="none" w:sz="0" w:space="0" w:color="auto"/>
                    <w:bottom w:val="none" w:sz="0" w:space="0" w:color="auto"/>
                    <w:right w:val="none" w:sz="0" w:space="0" w:color="auto"/>
                  </w:divBdr>
                  <w:divsChild>
                    <w:div w:id="442924073">
                      <w:marLeft w:val="0"/>
                      <w:marRight w:val="0"/>
                      <w:marTop w:val="0"/>
                      <w:marBottom w:val="0"/>
                      <w:divBdr>
                        <w:top w:val="none" w:sz="0" w:space="0" w:color="auto"/>
                        <w:left w:val="none" w:sz="0" w:space="0" w:color="auto"/>
                        <w:bottom w:val="none" w:sz="0" w:space="0" w:color="auto"/>
                        <w:right w:val="none" w:sz="0" w:space="0" w:color="auto"/>
                      </w:divBdr>
                      <w:divsChild>
                        <w:div w:id="442924103">
                          <w:marLeft w:val="0"/>
                          <w:marRight w:val="0"/>
                          <w:marTop w:val="0"/>
                          <w:marBottom w:val="0"/>
                          <w:divBdr>
                            <w:top w:val="none" w:sz="0" w:space="0" w:color="auto"/>
                            <w:left w:val="none" w:sz="0" w:space="0" w:color="auto"/>
                            <w:bottom w:val="none" w:sz="0" w:space="0" w:color="auto"/>
                            <w:right w:val="none" w:sz="0" w:space="0" w:color="auto"/>
                          </w:divBdr>
                          <w:divsChild>
                            <w:div w:id="442924066">
                              <w:marLeft w:val="0"/>
                              <w:marRight w:val="0"/>
                              <w:marTop w:val="0"/>
                              <w:marBottom w:val="0"/>
                              <w:divBdr>
                                <w:top w:val="none" w:sz="0" w:space="0" w:color="auto"/>
                                <w:left w:val="none" w:sz="0" w:space="0" w:color="auto"/>
                                <w:bottom w:val="none" w:sz="0" w:space="0" w:color="auto"/>
                                <w:right w:val="none" w:sz="0" w:space="0" w:color="auto"/>
                              </w:divBdr>
                              <w:divsChild>
                                <w:div w:id="442924091">
                                  <w:marLeft w:val="0"/>
                                  <w:marRight w:val="0"/>
                                  <w:marTop w:val="0"/>
                                  <w:marBottom w:val="0"/>
                                  <w:divBdr>
                                    <w:top w:val="none" w:sz="0" w:space="0" w:color="auto"/>
                                    <w:left w:val="none" w:sz="0" w:space="0" w:color="auto"/>
                                    <w:bottom w:val="none" w:sz="0" w:space="0" w:color="auto"/>
                                    <w:right w:val="none" w:sz="0" w:space="0" w:color="auto"/>
                                  </w:divBdr>
                                  <w:divsChild>
                                    <w:div w:id="442924086">
                                      <w:marLeft w:val="0"/>
                                      <w:marRight w:val="0"/>
                                      <w:marTop w:val="0"/>
                                      <w:marBottom w:val="0"/>
                                      <w:divBdr>
                                        <w:top w:val="none" w:sz="0" w:space="0" w:color="auto"/>
                                        <w:left w:val="none" w:sz="0" w:space="0" w:color="auto"/>
                                        <w:bottom w:val="none" w:sz="0" w:space="0" w:color="auto"/>
                                        <w:right w:val="none" w:sz="0" w:space="0" w:color="auto"/>
                                      </w:divBdr>
                                      <w:divsChild>
                                        <w:div w:id="442924100">
                                          <w:marLeft w:val="0"/>
                                          <w:marRight w:val="0"/>
                                          <w:marTop w:val="0"/>
                                          <w:marBottom w:val="0"/>
                                          <w:divBdr>
                                            <w:top w:val="none" w:sz="0" w:space="0" w:color="auto"/>
                                            <w:left w:val="none" w:sz="0" w:space="0" w:color="auto"/>
                                            <w:bottom w:val="none" w:sz="0" w:space="0" w:color="auto"/>
                                            <w:right w:val="none" w:sz="0" w:space="0" w:color="auto"/>
                                          </w:divBdr>
                                          <w:divsChild>
                                            <w:div w:id="442924082">
                                              <w:marLeft w:val="0"/>
                                              <w:marRight w:val="0"/>
                                              <w:marTop w:val="0"/>
                                              <w:marBottom w:val="0"/>
                                              <w:divBdr>
                                                <w:top w:val="none" w:sz="0" w:space="0" w:color="auto"/>
                                                <w:left w:val="none" w:sz="0" w:space="0" w:color="auto"/>
                                                <w:bottom w:val="none" w:sz="0" w:space="0" w:color="auto"/>
                                                <w:right w:val="none" w:sz="0" w:space="0" w:color="auto"/>
                                              </w:divBdr>
                                              <w:divsChild>
                                                <w:div w:id="44292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924072">
      <w:marLeft w:val="0"/>
      <w:marRight w:val="0"/>
      <w:marTop w:val="0"/>
      <w:marBottom w:val="0"/>
      <w:divBdr>
        <w:top w:val="none" w:sz="0" w:space="0" w:color="auto"/>
        <w:left w:val="none" w:sz="0" w:space="0" w:color="auto"/>
        <w:bottom w:val="none" w:sz="0" w:space="0" w:color="auto"/>
        <w:right w:val="none" w:sz="0" w:space="0" w:color="auto"/>
      </w:divBdr>
    </w:div>
    <w:div w:id="442924078">
      <w:marLeft w:val="0"/>
      <w:marRight w:val="0"/>
      <w:marTop w:val="0"/>
      <w:marBottom w:val="0"/>
      <w:divBdr>
        <w:top w:val="none" w:sz="0" w:space="0" w:color="auto"/>
        <w:left w:val="none" w:sz="0" w:space="0" w:color="auto"/>
        <w:bottom w:val="none" w:sz="0" w:space="0" w:color="auto"/>
        <w:right w:val="none" w:sz="0" w:space="0" w:color="auto"/>
      </w:divBdr>
    </w:div>
    <w:div w:id="442924085">
      <w:marLeft w:val="0"/>
      <w:marRight w:val="0"/>
      <w:marTop w:val="0"/>
      <w:marBottom w:val="0"/>
      <w:divBdr>
        <w:top w:val="none" w:sz="0" w:space="0" w:color="auto"/>
        <w:left w:val="none" w:sz="0" w:space="0" w:color="auto"/>
        <w:bottom w:val="none" w:sz="0" w:space="0" w:color="auto"/>
        <w:right w:val="none" w:sz="0" w:space="0" w:color="auto"/>
      </w:divBdr>
      <w:divsChild>
        <w:div w:id="442924063">
          <w:marLeft w:val="0"/>
          <w:marRight w:val="0"/>
          <w:marTop w:val="0"/>
          <w:marBottom w:val="0"/>
          <w:divBdr>
            <w:top w:val="none" w:sz="0" w:space="0" w:color="auto"/>
            <w:left w:val="none" w:sz="0" w:space="0" w:color="auto"/>
            <w:bottom w:val="none" w:sz="0" w:space="0" w:color="auto"/>
            <w:right w:val="none" w:sz="0" w:space="0" w:color="auto"/>
          </w:divBdr>
          <w:divsChild>
            <w:div w:id="442924062">
              <w:marLeft w:val="0"/>
              <w:marRight w:val="0"/>
              <w:marTop w:val="0"/>
              <w:marBottom w:val="0"/>
              <w:divBdr>
                <w:top w:val="none" w:sz="0" w:space="0" w:color="auto"/>
                <w:left w:val="none" w:sz="0" w:space="0" w:color="auto"/>
                <w:bottom w:val="none" w:sz="0" w:space="0" w:color="auto"/>
                <w:right w:val="none" w:sz="0" w:space="0" w:color="auto"/>
              </w:divBdr>
              <w:divsChild>
                <w:div w:id="442924065">
                  <w:marLeft w:val="0"/>
                  <w:marRight w:val="0"/>
                  <w:marTop w:val="0"/>
                  <w:marBottom w:val="0"/>
                  <w:divBdr>
                    <w:top w:val="none" w:sz="0" w:space="0" w:color="auto"/>
                    <w:left w:val="none" w:sz="0" w:space="0" w:color="auto"/>
                    <w:bottom w:val="none" w:sz="0" w:space="0" w:color="auto"/>
                    <w:right w:val="none" w:sz="0" w:space="0" w:color="auto"/>
                  </w:divBdr>
                  <w:divsChild>
                    <w:div w:id="442924099">
                      <w:marLeft w:val="0"/>
                      <w:marRight w:val="0"/>
                      <w:marTop w:val="0"/>
                      <w:marBottom w:val="0"/>
                      <w:divBdr>
                        <w:top w:val="none" w:sz="0" w:space="0" w:color="auto"/>
                        <w:left w:val="none" w:sz="0" w:space="0" w:color="auto"/>
                        <w:bottom w:val="none" w:sz="0" w:space="0" w:color="auto"/>
                        <w:right w:val="none" w:sz="0" w:space="0" w:color="auto"/>
                      </w:divBdr>
                      <w:divsChild>
                        <w:div w:id="442924077">
                          <w:marLeft w:val="0"/>
                          <w:marRight w:val="0"/>
                          <w:marTop w:val="0"/>
                          <w:marBottom w:val="0"/>
                          <w:divBdr>
                            <w:top w:val="none" w:sz="0" w:space="0" w:color="auto"/>
                            <w:left w:val="none" w:sz="0" w:space="0" w:color="auto"/>
                            <w:bottom w:val="none" w:sz="0" w:space="0" w:color="auto"/>
                            <w:right w:val="none" w:sz="0" w:space="0" w:color="auto"/>
                          </w:divBdr>
                          <w:divsChild>
                            <w:div w:id="44292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924088">
      <w:marLeft w:val="0"/>
      <w:marRight w:val="0"/>
      <w:marTop w:val="0"/>
      <w:marBottom w:val="0"/>
      <w:divBdr>
        <w:top w:val="none" w:sz="0" w:space="0" w:color="auto"/>
        <w:left w:val="none" w:sz="0" w:space="0" w:color="auto"/>
        <w:bottom w:val="none" w:sz="0" w:space="0" w:color="auto"/>
        <w:right w:val="none" w:sz="0" w:space="0" w:color="auto"/>
      </w:divBdr>
    </w:div>
    <w:div w:id="442924092">
      <w:marLeft w:val="0"/>
      <w:marRight w:val="0"/>
      <w:marTop w:val="0"/>
      <w:marBottom w:val="0"/>
      <w:divBdr>
        <w:top w:val="none" w:sz="0" w:space="0" w:color="auto"/>
        <w:left w:val="none" w:sz="0" w:space="0" w:color="auto"/>
        <w:bottom w:val="none" w:sz="0" w:space="0" w:color="auto"/>
        <w:right w:val="none" w:sz="0" w:space="0" w:color="auto"/>
      </w:divBdr>
    </w:div>
    <w:div w:id="442924095">
      <w:marLeft w:val="0"/>
      <w:marRight w:val="0"/>
      <w:marTop w:val="0"/>
      <w:marBottom w:val="0"/>
      <w:divBdr>
        <w:top w:val="none" w:sz="0" w:space="0" w:color="auto"/>
        <w:left w:val="none" w:sz="0" w:space="0" w:color="auto"/>
        <w:bottom w:val="none" w:sz="0" w:space="0" w:color="auto"/>
        <w:right w:val="none" w:sz="0" w:space="0" w:color="auto"/>
      </w:divBdr>
    </w:div>
    <w:div w:id="442924096">
      <w:marLeft w:val="0"/>
      <w:marRight w:val="0"/>
      <w:marTop w:val="0"/>
      <w:marBottom w:val="0"/>
      <w:divBdr>
        <w:top w:val="none" w:sz="0" w:space="0" w:color="auto"/>
        <w:left w:val="none" w:sz="0" w:space="0" w:color="auto"/>
        <w:bottom w:val="none" w:sz="0" w:space="0" w:color="auto"/>
        <w:right w:val="none" w:sz="0" w:space="0" w:color="auto"/>
      </w:divBdr>
    </w:div>
    <w:div w:id="442924097">
      <w:marLeft w:val="0"/>
      <w:marRight w:val="0"/>
      <w:marTop w:val="0"/>
      <w:marBottom w:val="0"/>
      <w:divBdr>
        <w:top w:val="none" w:sz="0" w:space="0" w:color="auto"/>
        <w:left w:val="none" w:sz="0" w:space="0" w:color="auto"/>
        <w:bottom w:val="none" w:sz="0" w:space="0" w:color="auto"/>
        <w:right w:val="none" w:sz="0" w:space="0" w:color="auto"/>
      </w:divBdr>
      <w:divsChild>
        <w:div w:id="442924084">
          <w:marLeft w:val="0"/>
          <w:marRight w:val="0"/>
          <w:marTop w:val="0"/>
          <w:marBottom w:val="0"/>
          <w:divBdr>
            <w:top w:val="none" w:sz="0" w:space="0" w:color="auto"/>
            <w:left w:val="none" w:sz="0" w:space="0" w:color="auto"/>
            <w:bottom w:val="none" w:sz="0" w:space="0" w:color="auto"/>
            <w:right w:val="none" w:sz="0" w:space="0" w:color="auto"/>
          </w:divBdr>
          <w:divsChild>
            <w:div w:id="442924105">
              <w:marLeft w:val="0"/>
              <w:marRight w:val="0"/>
              <w:marTop w:val="0"/>
              <w:marBottom w:val="0"/>
              <w:divBdr>
                <w:top w:val="none" w:sz="0" w:space="0" w:color="auto"/>
                <w:left w:val="none" w:sz="0" w:space="0" w:color="auto"/>
                <w:bottom w:val="none" w:sz="0" w:space="0" w:color="auto"/>
                <w:right w:val="none" w:sz="0" w:space="0" w:color="auto"/>
              </w:divBdr>
              <w:divsChild>
                <w:div w:id="442924089">
                  <w:marLeft w:val="0"/>
                  <w:marRight w:val="0"/>
                  <w:marTop w:val="0"/>
                  <w:marBottom w:val="0"/>
                  <w:divBdr>
                    <w:top w:val="none" w:sz="0" w:space="0" w:color="auto"/>
                    <w:left w:val="none" w:sz="0" w:space="0" w:color="auto"/>
                    <w:bottom w:val="none" w:sz="0" w:space="0" w:color="auto"/>
                    <w:right w:val="none" w:sz="0" w:space="0" w:color="auto"/>
                  </w:divBdr>
                  <w:divsChild>
                    <w:div w:id="442924057">
                      <w:marLeft w:val="0"/>
                      <w:marRight w:val="0"/>
                      <w:marTop w:val="0"/>
                      <w:marBottom w:val="0"/>
                      <w:divBdr>
                        <w:top w:val="none" w:sz="0" w:space="0" w:color="auto"/>
                        <w:left w:val="none" w:sz="0" w:space="0" w:color="auto"/>
                        <w:bottom w:val="none" w:sz="0" w:space="0" w:color="auto"/>
                        <w:right w:val="none" w:sz="0" w:space="0" w:color="auto"/>
                      </w:divBdr>
                      <w:divsChild>
                        <w:div w:id="442924098">
                          <w:marLeft w:val="0"/>
                          <w:marRight w:val="0"/>
                          <w:marTop w:val="0"/>
                          <w:marBottom w:val="0"/>
                          <w:divBdr>
                            <w:top w:val="none" w:sz="0" w:space="0" w:color="auto"/>
                            <w:left w:val="none" w:sz="0" w:space="0" w:color="auto"/>
                            <w:bottom w:val="none" w:sz="0" w:space="0" w:color="auto"/>
                            <w:right w:val="none" w:sz="0" w:space="0" w:color="auto"/>
                          </w:divBdr>
                          <w:divsChild>
                            <w:div w:id="4429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924106">
      <w:marLeft w:val="0"/>
      <w:marRight w:val="0"/>
      <w:marTop w:val="0"/>
      <w:marBottom w:val="0"/>
      <w:divBdr>
        <w:top w:val="none" w:sz="0" w:space="0" w:color="auto"/>
        <w:left w:val="none" w:sz="0" w:space="0" w:color="auto"/>
        <w:bottom w:val="none" w:sz="0" w:space="0" w:color="auto"/>
        <w:right w:val="none" w:sz="0" w:space="0" w:color="auto"/>
      </w:divBdr>
      <w:divsChild>
        <w:div w:id="442924079">
          <w:marLeft w:val="0"/>
          <w:marRight w:val="0"/>
          <w:marTop w:val="0"/>
          <w:marBottom w:val="0"/>
          <w:divBdr>
            <w:top w:val="none" w:sz="0" w:space="0" w:color="auto"/>
            <w:left w:val="none" w:sz="0" w:space="0" w:color="auto"/>
            <w:bottom w:val="none" w:sz="0" w:space="0" w:color="auto"/>
            <w:right w:val="none" w:sz="0" w:space="0" w:color="auto"/>
          </w:divBdr>
          <w:divsChild>
            <w:div w:id="442924081">
              <w:marLeft w:val="0"/>
              <w:marRight w:val="0"/>
              <w:marTop w:val="0"/>
              <w:marBottom w:val="0"/>
              <w:divBdr>
                <w:top w:val="none" w:sz="0" w:space="0" w:color="auto"/>
                <w:left w:val="none" w:sz="0" w:space="0" w:color="auto"/>
                <w:bottom w:val="none" w:sz="0" w:space="0" w:color="auto"/>
                <w:right w:val="none" w:sz="0" w:space="0" w:color="auto"/>
              </w:divBdr>
              <w:divsChild>
                <w:div w:id="442924061">
                  <w:marLeft w:val="0"/>
                  <w:marRight w:val="0"/>
                  <w:marTop w:val="0"/>
                  <w:marBottom w:val="0"/>
                  <w:divBdr>
                    <w:top w:val="none" w:sz="0" w:space="0" w:color="auto"/>
                    <w:left w:val="none" w:sz="0" w:space="0" w:color="auto"/>
                    <w:bottom w:val="none" w:sz="0" w:space="0" w:color="auto"/>
                    <w:right w:val="none" w:sz="0" w:space="0" w:color="auto"/>
                  </w:divBdr>
                  <w:divsChild>
                    <w:div w:id="442924093">
                      <w:marLeft w:val="0"/>
                      <w:marRight w:val="0"/>
                      <w:marTop w:val="0"/>
                      <w:marBottom w:val="0"/>
                      <w:divBdr>
                        <w:top w:val="none" w:sz="0" w:space="0" w:color="auto"/>
                        <w:left w:val="none" w:sz="0" w:space="0" w:color="auto"/>
                        <w:bottom w:val="none" w:sz="0" w:space="0" w:color="auto"/>
                        <w:right w:val="none" w:sz="0" w:space="0" w:color="auto"/>
                      </w:divBdr>
                      <w:divsChild>
                        <w:div w:id="442924068">
                          <w:marLeft w:val="0"/>
                          <w:marRight w:val="0"/>
                          <w:marTop w:val="0"/>
                          <w:marBottom w:val="0"/>
                          <w:divBdr>
                            <w:top w:val="none" w:sz="0" w:space="0" w:color="auto"/>
                            <w:left w:val="none" w:sz="0" w:space="0" w:color="auto"/>
                            <w:bottom w:val="none" w:sz="0" w:space="0" w:color="auto"/>
                            <w:right w:val="none" w:sz="0" w:space="0" w:color="auto"/>
                          </w:divBdr>
                          <w:divsChild>
                            <w:div w:id="4429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eng?i=001-91501" TargetMode="External"/><Relationship Id="rId299" Type="http://schemas.openxmlformats.org/officeDocument/2006/relationships/hyperlink" Target="http://hudoc.echr.coe.int/eng?i=001-73016" TargetMode="External"/><Relationship Id="rId21" Type="http://schemas.openxmlformats.org/officeDocument/2006/relationships/hyperlink" Target="http://hudoc.echr.coe.int/eng?i=001-114666" TargetMode="External"/><Relationship Id="rId63" Type="http://schemas.openxmlformats.org/officeDocument/2006/relationships/hyperlink" Target="http://hudoc.echr.coe.int/eng?i=001-115871" TargetMode="External"/><Relationship Id="rId159" Type="http://schemas.openxmlformats.org/officeDocument/2006/relationships/hyperlink" Target="http://hudoc.echr.coe.int/eng?i=001-122174" TargetMode="External"/><Relationship Id="rId170" Type="http://schemas.openxmlformats.org/officeDocument/2006/relationships/hyperlink" Target="http://hudoc.echr.coe.int/eng?i=001-102123" TargetMode="External"/><Relationship Id="rId226" Type="http://schemas.openxmlformats.org/officeDocument/2006/relationships/hyperlink" Target="http://hudoc.echr.coe.int/eng?i=001-71671" TargetMode="External"/><Relationship Id="rId268" Type="http://schemas.openxmlformats.org/officeDocument/2006/relationships/hyperlink" Target="http://hudoc.echr.coe.int/eng?i=001-178174" TargetMode="External"/><Relationship Id="rId32" Type="http://schemas.openxmlformats.org/officeDocument/2006/relationships/hyperlink" Target="http://hudoc.echr.coe.int/eng?i=001-86275" TargetMode="External"/><Relationship Id="rId74" Type="http://schemas.openxmlformats.org/officeDocument/2006/relationships/hyperlink" Target="http://hudoc.echr.coe.int/eng?i=001-186216" TargetMode="External"/><Relationship Id="rId128" Type="http://schemas.openxmlformats.org/officeDocument/2006/relationships/hyperlink" Target="http://hudoc.echr.coe.int/eng?i=001-58338" TargetMode="External"/><Relationship Id="rId5" Type="http://schemas.openxmlformats.org/officeDocument/2006/relationships/footnotes" Target="footnotes.xml"/><Relationship Id="rId181" Type="http://schemas.openxmlformats.org/officeDocument/2006/relationships/hyperlink" Target="http://hudoc.echr.coe.int/eng?i=001-189590" TargetMode="External"/><Relationship Id="rId237" Type="http://schemas.openxmlformats.org/officeDocument/2006/relationships/hyperlink" Target="http://hudoc.echr.coe.int/eng?i=001-126129" TargetMode="External"/><Relationship Id="rId279" Type="http://schemas.openxmlformats.org/officeDocument/2006/relationships/hyperlink" Target="http://hudoc.echr.coe.int/eng?i=001-58304" TargetMode="External"/><Relationship Id="rId43" Type="http://schemas.openxmlformats.org/officeDocument/2006/relationships/hyperlink" Target="http://hudoc.echr.coe.int/eng?i=001-91144" TargetMode="External"/><Relationship Id="rId139" Type="http://schemas.openxmlformats.org/officeDocument/2006/relationships/hyperlink" Target="http://hudoc.echr.coe.int/eng?i=001-5726" TargetMode="External"/><Relationship Id="rId290" Type="http://schemas.openxmlformats.org/officeDocument/2006/relationships/hyperlink" Target="http://hudoc.echr.coe.int/eng?i=001-154265" TargetMode="External"/><Relationship Id="rId304" Type="http://schemas.openxmlformats.org/officeDocument/2006/relationships/hyperlink" Target="http://hudoc.echr.coe.int/eng?i=001-144129" TargetMode="External"/><Relationship Id="rId85" Type="http://schemas.openxmlformats.org/officeDocument/2006/relationships/hyperlink" Target="http://hudoc.echr.coe.int/eng?i=001-115871" TargetMode="External"/><Relationship Id="rId150" Type="http://schemas.openxmlformats.org/officeDocument/2006/relationships/hyperlink" Target="http://hudoc.echr.coe.int/eng?i=001-65362" TargetMode="External"/><Relationship Id="rId192" Type="http://schemas.openxmlformats.org/officeDocument/2006/relationships/hyperlink" Target="http://hudoc.echr.coe.int/eng?i=001-154265" TargetMode="External"/><Relationship Id="rId206" Type="http://schemas.openxmlformats.org/officeDocument/2006/relationships/hyperlink" Target="http://hudoc.echr.coe.int/eng?i=001-57926" TargetMode="External"/><Relationship Id="rId248" Type="http://schemas.openxmlformats.org/officeDocument/2006/relationships/hyperlink" Target="http://hudoc.echr.coe.int/eng?i=001-24031" TargetMode="External"/><Relationship Id="rId12" Type="http://schemas.openxmlformats.org/officeDocument/2006/relationships/footer" Target="footer3.xml"/><Relationship Id="rId108" Type="http://schemas.openxmlformats.org/officeDocument/2006/relationships/hyperlink" Target="http://hudoc.echr.coe.int/eng?i=001-163113" TargetMode="External"/><Relationship Id="rId315" Type="http://schemas.openxmlformats.org/officeDocument/2006/relationships/header" Target="header5.xml"/><Relationship Id="rId54" Type="http://schemas.openxmlformats.org/officeDocument/2006/relationships/hyperlink" Target="http://hudoc.echr.coe.int/eng?i=001-115871" TargetMode="External"/><Relationship Id="rId96" Type="http://schemas.openxmlformats.org/officeDocument/2006/relationships/hyperlink" Target="http://hudoc.echr.coe.int/eng?i=001-5726" TargetMode="External"/><Relationship Id="rId161" Type="http://schemas.openxmlformats.org/officeDocument/2006/relationships/hyperlink" Target="http://hudoc.echr.coe.int/eng?i=001-163113" TargetMode="External"/><Relationship Id="rId217" Type="http://schemas.openxmlformats.org/officeDocument/2006/relationships/hyperlink" Target="http://hudoc.echr.coe.int/eng?i=001-154265" TargetMode="External"/><Relationship Id="rId259" Type="http://schemas.openxmlformats.org/officeDocument/2006/relationships/hyperlink" Target="http://hudoc.echr.coe.int/eng?i=001-127426" TargetMode="External"/><Relationship Id="rId23" Type="http://schemas.openxmlformats.org/officeDocument/2006/relationships/hyperlink" Target="http://hudoc.echr.coe.int/eng?i=001-80249" TargetMode="External"/><Relationship Id="rId119" Type="http://schemas.openxmlformats.org/officeDocument/2006/relationships/hyperlink" Target="http://hudoc.echr.coe.int/eng?i=001-91501" TargetMode="External"/><Relationship Id="rId270" Type="http://schemas.openxmlformats.org/officeDocument/2006/relationships/hyperlink" Target="http://hudoc.echr.coe.int/eng?i=001-189590" TargetMode="External"/><Relationship Id="rId65" Type="http://schemas.openxmlformats.org/officeDocument/2006/relationships/hyperlink" Target="http://hudoc.echr.coe.int/eng?i=001-187507" TargetMode="External"/><Relationship Id="rId130" Type="http://schemas.openxmlformats.org/officeDocument/2006/relationships/hyperlink" Target="http://hudoc.echr.coe.int/eng?i=001-89519" TargetMode="External"/><Relationship Id="rId172" Type="http://schemas.openxmlformats.org/officeDocument/2006/relationships/hyperlink" Target="http://hudoc.echr.coe.int/eng?i=001-5726" TargetMode="External"/><Relationship Id="rId228" Type="http://schemas.openxmlformats.org/officeDocument/2006/relationships/hyperlink" Target="http://hudoc.echr.coe.int/eng?i=001-60333" TargetMode="External"/><Relationship Id="rId13" Type="http://schemas.openxmlformats.org/officeDocument/2006/relationships/hyperlink" Target="http://hudoc.echr.coe.int/eng?i=001-115871" TargetMode="External"/><Relationship Id="rId109" Type="http://schemas.openxmlformats.org/officeDocument/2006/relationships/hyperlink" Target="http://hudoc.echr.coe.int/eng?i=001-163113" TargetMode="External"/><Relationship Id="rId260" Type="http://schemas.openxmlformats.org/officeDocument/2006/relationships/hyperlink" Target="http://hudoc.echr.coe.int/eng?i=001-142248" TargetMode="External"/><Relationship Id="rId281" Type="http://schemas.openxmlformats.org/officeDocument/2006/relationships/hyperlink" Target="http://hudoc.echr.coe.int/eng?i=001-24031" TargetMode="External"/><Relationship Id="rId316" Type="http://schemas.openxmlformats.org/officeDocument/2006/relationships/fontTable" Target="fontTable.xml"/><Relationship Id="rId34" Type="http://schemas.openxmlformats.org/officeDocument/2006/relationships/hyperlink" Target="http://hudoc.echr.coe.int/eng?i=001-24031" TargetMode="External"/><Relationship Id="rId55" Type="http://schemas.openxmlformats.org/officeDocument/2006/relationships/hyperlink" Target="http://hudoc.echr.coe.int/eng?i=001-186216" TargetMode="External"/><Relationship Id="rId76" Type="http://schemas.openxmlformats.org/officeDocument/2006/relationships/hyperlink" Target="http://hudoc.echr.coe.int/eng?i=001-101212" TargetMode="External"/><Relationship Id="rId97" Type="http://schemas.openxmlformats.org/officeDocument/2006/relationships/hyperlink" Target="http://hudoc.echr.coe.int/eng?i=001-58338" TargetMode="External"/><Relationship Id="rId120" Type="http://schemas.openxmlformats.org/officeDocument/2006/relationships/hyperlink" Target="http://hudoc.echr.coe.int/eng?i=001-91501" TargetMode="External"/><Relationship Id="rId141" Type="http://schemas.openxmlformats.org/officeDocument/2006/relationships/hyperlink" Target="http://hudoc.echr.coe.int/eng?i=001-163113" TargetMode="External"/><Relationship Id="rId7" Type="http://schemas.openxmlformats.org/officeDocument/2006/relationships/header" Target="header1.xml"/><Relationship Id="rId162" Type="http://schemas.openxmlformats.org/officeDocument/2006/relationships/hyperlink" Target="http://hudoc.echr.coe.int/eng?i=001-89519" TargetMode="External"/><Relationship Id="rId183" Type="http://schemas.openxmlformats.org/officeDocument/2006/relationships/hyperlink" Target="http://hudoc.echr.coe.int/eng?i=001-158480" TargetMode="External"/><Relationship Id="rId218" Type="http://schemas.openxmlformats.org/officeDocument/2006/relationships/hyperlink" Target="http://hudoc.echr.coe.int/eng?i=001-71671" TargetMode="External"/><Relationship Id="rId239" Type="http://schemas.openxmlformats.org/officeDocument/2006/relationships/hyperlink" Target="http://hudoc.echr.coe.int/eng?i=001-61638" TargetMode="External"/><Relationship Id="rId250" Type="http://schemas.openxmlformats.org/officeDocument/2006/relationships/hyperlink" Target="http://hudoc.echr.coe.int/eng?i=001-86275" TargetMode="External"/><Relationship Id="rId271" Type="http://schemas.openxmlformats.org/officeDocument/2006/relationships/hyperlink" Target="http://hudoc.echr.coe.int/eng?i=001-101212" TargetMode="External"/><Relationship Id="rId292" Type="http://schemas.openxmlformats.org/officeDocument/2006/relationships/hyperlink" Target="http://hudoc.echr.coe.int/eng?i=001-58015" TargetMode="External"/><Relationship Id="rId306" Type="http://schemas.openxmlformats.org/officeDocument/2006/relationships/hyperlink" Target="http://hudoc.echr.coe.int/eng?i=001-159607" TargetMode="External"/><Relationship Id="rId24" Type="http://schemas.openxmlformats.org/officeDocument/2006/relationships/hyperlink" Target="http://hudoc.echr.coe.int/eng?i=001-5726" TargetMode="External"/><Relationship Id="rId45" Type="http://schemas.openxmlformats.org/officeDocument/2006/relationships/hyperlink" Target="http://hudoc.echr.coe.int/eng?i=001-163113" TargetMode="External"/><Relationship Id="rId66" Type="http://schemas.openxmlformats.org/officeDocument/2006/relationships/hyperlink" Target="http://hudoc.echr.coe.int/eng?i=001-115871" TargetMode="External"/><Relationship Id="rId87" Type="http://schemas.openxmlformats.org/officeDocument/2006/relationships/hyperlink" Target="http://hudoc.echr.coe.int/eng?i=001-101212" TargetMode="External"/><Relationship Id="rId110" Type="http://schemas.openxmlformats.org/officeDocument/2006/relationships/hyperlink" Target="http://hudoc.echr.coe.int/eng?i=001-163113" TargetMode="External"/><Relationship Id="rId131" Type="http://schemas.openxmlformats.org/officeDocument/2006/relationships/hyperlink" Target="http://hudoc.echr.coe.int/eng?i=001-188274" TargetMode="External"/><Relationship Id="rId152" Type="http://schemas.openxmlformats.org/officeDocument/2006/relationships/hyperlink" Target="http://hudoc.echr.coe.int/eng?i=001-163113" TargetMode="External"/><Relationship Id="rId173" Type="http://schemas.openxmlformats.org/officeDocument/2006/relationships/hyperlink" Target="http://hudoc.echr.coe.int/eng?i=001-58304" TargetMode="External"/><Relationship Id="rId194" Type="http://schemas.openxmlformats.org/officeDocument/2006/relationships/hyperlink" Target="http://hudoc.echr.coe.int/eng?i=001-144129" TargetMode="External"/><Relationship Id="rId208" Type="http://schemas.openxmlformats.org/officeDocument/2006/relationships/hyperlink" Target="http://hudoc.echr.coe.int/eng?i=001-161898" TargetMode="External"/><Relationship Id="rId229" Type="http://schemas.openxmlformats.org/officeDocument/2006/relationships/hyperlink" Target="http://hudoc.echr.coe.int/eng?i=001-154265" TargetMode="External"/><Relationship Id="rId240" Type="http://schemas.openxmlformats.org/officeDocument/2006/relationships/hyperlink" Target="https://www.echr.coe.int/Documents/FS_Reputation_ENG.pdf" TargetMode="External"/><Relationship Id="rId261" Type="http://schemas.openxmlformats.org/officeDocument/2006/relationships/hyperlink" Target="http://hudoc.echr.coe.int/eng?i=001-154027" TargetMode="External"/><Relationship Id="rId14" Type="http://schemas.openxmlformats.org/officeDocument/2006/relationships/hyperlink" Target="http://hudoc.echr.coe.int/eng?i=001-186216" TargetMode="External"/><Relationship Id="rId35" Type="http://schemas.openxmlformats.org/officeDocument/2006/relationships/hyperlink" Target="http://hudoc.echr.coe.int/eng?i=001-142248" TargetMode="External"/><Relationship Id="rId56" Type="http://schemas.openxmlformats.org/officeDocument/2006/relationships/hyperlink" Target="http://hudoc.echr.coe.int/eng?i=001-186216" TargetMode="External"/><Relationship Id="rId77" Type="http://schemas.openxmlformats.org/officeDocument/2006/relationships/hyperlink" Target="http://hudoc.echr.coe.int/eng?i=001-186216" TargetMode="External"/><Relationship Id="rId100" Type="http://schemas.openxmlformats.org/officeDocument/2006/relationships/hyperlink" Target="http://hudoc.echr.coe.int/eng?i=001-188274" TargetMode="External"/><Relationship Id="rId282" Type="http://schemas.openxmlformats.org/officeDocument/2006/relationships/hyperlink" Target="http://hudoc.echr.coe.int/eng?i=001-84828" TargetMode="External"/><Relationship Id="rId317" Type="http://schemas.openxmlformats.org/officeDocument/2006/relationships/theme" Target="theme/theme1.xml"/><Relationship Id="rId8" Type="http://schemas.openxmlformats.org/officeDocument/2006/relationships/footer" Target="footer1.xml"/><Relationship Id="rId98" Type="http://schemas.openxmlformats.org/officeDocument/2006/relationships/hyperlink" Target="http://hudoc.echr.coe.int/eng?i=001-163113" TargetMode="External"/><Relationship Id="rId121" Type="http://schemas.openxmlformats.org/officeDocument/2006/relationships/hyperlink" Target="http://hudoc.echr.coe.int/eng?i=001-163113" TargetMode="External"/><Relationship Id="rId142" Type="http://schemas.openxmlformats.org/officeDocument/2006/relationships/hyperlink" Target="http://hudoc.echr.coe.int/eng?i=001-163113" TargetMode="External"/><Relationship Id="rId163" Type="http://schemas.openxmlformats.org/officeDocument/2006/relationships/hyperlink" Target="http://hudoc.echr.coe.int/eng?i=001-122174" TargetMode="External"/><Relationship Id="rId184" Type="http://schemas.openxmlformats.org/officeDocument/2006/relationships/hyperlink" Target="http://hudoc.echr.coe.int/eng?i=001-58855" TargetMode="External"/><Relationship Id="rId219" Type="http://schemas.openxmlformats.org/officeDocument/2006/relationships/hyperlink" Target="http://hudoc.echr.coe.int/eng?i=001-71671" TargetMode="External"/><Relationship Id="rId230" Type="http://schemas.openxmlformats.org/officeDocument/2006/relationships/hyperlink" Target="http://hudoc.echr.coe.int/eng?i=001-71671" TargetMode="External"/><Relationship Id="rId251" Type="http://schemas.openxmlformats.org/officeDocument/2006/relationships/hyperlink" Target="http://hudoc.echr.coe.int/eng?i=001-91144" TargetMode="External"/><Relationship Id="rId25" Type="http://schemas.openxmlformats.org/officeDocument/2006/relationships/hyperlink" Target="http://hudoc.echr.coe.int/eng?i=001-80249" TargetMode="External"/><Relationship Id="rId46" Type="http://schemas.openxmlformats.org/officeDocument/2006/relationships/hyperlink" Target="http://hudoc.echr.coe.int/eng?i=001-186216" TargetMode="External"/><Relationship Id="rId67" Type="http://schemas.openxmlformats.org/officeDocument/2006/relationships/hyperlink" Target="http://hudoc.echr.coe.int/eng?i=001-186216" TargetMode="External"/><Relationship Id="rId272" Type="http://schemas.openxmlformats.org/officeDocument/2006/relationships/hyperlink" Target="http://hudoc.echr.coe.int/eng?i=001-115871" TargetMode="External"/><Relationship Id="rId293" Type="http://schemas.openxmlformats.org/officeDocument/2006/relationships/hyperlink" Target="http://hudoc.echr.coe.int/eng?i=001-58087" TargetMode="External"/><Relationship Id="rId307" Type="http://schemas.openxmlformats.org/officeDocument/2006/relationships/hyperlink" Target="http://hudoc.echr.coe.int/eng?i=001-180286" TargetMode="External"/><Relationship Id="rId88" Type="http://schemas.openxmlformats.org/officeDocument/2006/relationships/hyperlink" Target="http://hudoc.echr.coe.int/eng?i=001-101212" TargetMode="External"/><Relationship Id="rId111" Type="http://schemas.openxmlformats.org/officeDocument/2006/relationships/hyperlink" Target="http://hudoc.echr.coe.int/eng?i=001-58338" TargetMode="External"/><Relationship Id="rId132" Type="http://schemas.openxmlformats.org/officeDocument/2006/relationships/hyperlink" Target="http://hudoc.echr.coe.int/eng?i=001-84828" TargetMode="External"/><Relationship Id="rId153" Type="http://schemas.openxmlformats.org/officeDocument/2006/relationships/hyperlink" Target="http://hudoc.echr.coe.int/eng?i=001-122174" TargetMode="External"/><Relationship Id="rId174" Type="http://schemas.openxmlformats.org/officeDocument/2006/relationships/hyperlink" Target="http://hudoc.echr.coe.int/eng?i=001-65362" TargetMode="External"/><Relationship Id="rId195" Type="http://schemas.openxmlformats.org/officeDocument/2006/relationships/hyperlink" Target="http://hudoc.echr.coe.int/eng?i=001-60333" TargetMode="External"/><Relationship Id="rId209" Type="http://schemas.openxmlformats.org/officeDocument/2006/relationships/hyperlink" Target="http://hudoc.echr.coe.int/eng?i=001-187397" TargetMode="External"/><Relationship Id="rId220" Type="http://schemas.openxmlformats.org/officeDocument/2006/relationships/hyperlink" Target="http://hudoc.echr.coe.int/eng?i=001-154265" TargetMode="External"/><Relationship Id="rId241" Type="http://schemas.openxmlformats.org/officeDocument/2006/relationships/hyperlink" Target="http://hudoc.echr.coe.int/eng?i=001-115871" TargetMode="External"/><Relationship Id="rId15" Type="http://schemas.openxmlformats.org/officeDocument/2006/relationships/hyperlink" Target="http://hudoc.echr.coe.int/eng?i=001-186790" TargetMode="External"/><Relationship Id="rId36" Type="http://schemas.openxmlformats.org/officeDocument/2006/relationships/hyperlink" Target="http://hudoc.echr.coe.int/eng?i=001-186216" TargetMode="External"/><Relationship Id="rId57" Type="http://schemas.openxmlformats.org/officeDocument/2006/relationships/hyperlink" Target="http://hudoc.echr.coe.int/eng?i=001-115871" TargetMode="External"/><Relationship Id="rId262" Type="http://schemas.openxmlformats.org/officeDocument/2006/relationships/hyperlink" Target="http://hudoc.echr.coe.int/eng?i=001-157348" TargetMode="External"/><Relationship Id="rId283" Type="http://schemas.openxmlformats.org/officeDocument/2006/relationships/hyperlink" Target="http://hudoc.echr.coe.int/eng?i=001-89519" TargetMode="External"/><Relationship Id="rId78" Type="http://schemas.openxmlformats.org/officeDocument/2006/relationships/hyperlink" Target="http://hudoc.echr.coe.int/eng?i=001-186216" TargetMode="External"/><Relationship Id="rId99" Type="http://schemas.openxmlformats.org/officeDocument/2006/relationships/hyperlink" Target="http://hudoc.echr.coe.int/eng?i=001-89519" TargetMode="External"/><Relationship Id="rId101" Type="http://schemas.openxmlformats.org/officeDocument/2006/relationships/hyperlink" Target="http://hudoc.echr.coe.int/eng?i=001-58012" TargetMode="External"/><Relationship Id="rId122" Type="http://schemas.openxmlformats.org/officeDocument/2006/relationships/hyperlink" Target="http://hudoc.echr.coe.int/eng?i=001-58338" TargetMode="External"/><Relationship Id="rId143" Type="http://schemas.openxmlformats.org/officeDocument/2006/relationships/hyperlink" Target="http://hudoc.echr.coe.int/eng?i=001-163113" TargetMode="External"/><Relationship Id="rId164" Type="http://schemas.openxmlformats.org/officeDocument/2006/relationships/hyperlink" Target="http://hudoc.echr.coe.int/eng?i=001-154265" TargetMode="External"/><Relationship Id="rId185" Type="http://schemas.openxmlformats.org/officeDocument/2006/relationships/hyperlink" Target="http://hudoc.echr.coe.int/eng?i=001-58855" TargetMode="External"/><Relationship Id="rId9" Type="http://schemas.openxmlformats.org/officeDocument/2006/relationships/header" Target="header2.xml"/><Relationship Id="rId210" Type="http://schemas.openxmlformats.org/officeDocument/2006/relationships/hyperlink" Target="http://hudoc.echr.coe.int/eng?i=001-57926" TargetMode="External"/><Relationship Id="rId26" Type="http://schemas.openxmlformats.org/officeDocument/2006/relationships/hyperlink" Target="http://hudoc.echr.coe.int/eng?i=001-163113" TargetMode="External"/><Relationship Id="rId231" Type="http://schemas.openxmlformats.org/officeDocument/2006/relationships/hyperlink" Target="http://hudoc.echr.coe.int/eng?i=001-71671" TargetMode="External"/><Relationship Id="rId252" Type="http://schemas.openxmlformats.org/officeDocument/2006/relationships/hyperlink" Target="http://hudoc.echr.coe.int/eng?i=001-92803" TargetMode="External"/><Relationship Id="rId273" Type="http://schemas.openxmlformats.org/officeDocument/2006/relationships/hyperlink" Target="http://hudoc.echr.coe.int/eng?i=001-170362" TargetMode="External"/><Relationship Id="rId294" Type="http://schemas.openxmlformats.org/officeDocument/2006/relationships/hyperlink" Target="http://hudoc.echr.coe.int/eng?i=001-60333" TargetMode="External"/><Relationship Id="rId308" Type="http://schemas.openxmlformats.org/officeDocument/2006/relationships/hyperlink" Target="http://hudoc.echr.coe.int/eng?i=001-164315" TargetMode="External"/><Relationship Id="rId47" Type="http://schemas.openxmlformats.org/officeDocument/2006/relationships/hyperlink" Target="http://hudoc.echr.coe.int/eng?i=001-173621" TargetMode="External"/><Relationship Id="rId68" Type="http://schemas.openxmlformats.org/officeDocument/2006/relationships/hyperlink" Target="http://hudoc.echr.coe.int/eng?i=001-187507" TargetMode="External"/><Relationship Id="rId89" Type="http://schemas.openxmlformats.org/officeDocument/2006/relationships/hyperlink" Target="http://hudoc.echr.coe.int/eng?i=001-101212" TargetMode="External"/><Relationship Id="rId112" Type="http://schemas.openxmlformats.org/officeDocument/2006/relationships/hyperlink" Target="http://hudoc.echr.coe.int/eng?i=001-163113" TargetMode="External"/><Relationship Id="rId133" Type="http://schemas.openxmlformats.org/officeDocument/2006/relationships/hyperlink" Target="http://hudoc.echr.coe.int/eng?i=001-5726" TargetMode="External"/><Relationship Id="rId154" Type="http://schemas.openxmlformats.org/officeDocument/2006/relationships/hyperlink" Target="http://hudoc.echr.coe.int/eng?i=001-163113" TargetMode="External"/><Relationship Id="rId175" Type="http://schemas.openxmlformats.org/officeDocument/2006/relationships/hyperlink" Target="http://hudoc.echr.coe.int/eng?i=001-71671" TargetMode="External"/><Relationship Id="rId196" Type="http://schemas.openxmlformats.org/officeDocument/2006/relationships/hyperlink" Target="http://hudoc.echr.coe.int/eng?i=001-154265" TargetMode="External"/><Relationship Id="rId200" Type="http://schemas.openxmlformats.org/officeDocument/2006/relationships/hyperlink" Target="http://hudoc.echr.coe.int/eng?i=001-154265" TargetMode="External"/><Relationship Id="rId16" Type="http://schemas.openxmlformats.org/officeDocument/2006/relationships/hyperlink" Target="http://hudoc.echr.coe.int/eng?i=001-95031" TargetMode="External"/><Relationship Id="rId221" Type="http://schemas.openxmlformats.org/officeDocument/2006/relationships/hyperlink" Target="http://hudoc.echr.coe.int/eng?i=001-154265" TargetMode="External"/><Relationship Id="rId242" Type="http://schemas.openxmlformats.org/officeDocument/2006/relationships/hyperlink" Target="http://hudoc.echr.coe.int/eng?i=001-163113" TargetMode="External"/><Relationship Id="rId263" Type="http://schemas.openxmlformats.org/officeDocument/2006/relationships/hyperlink" Target="http://hudoc.echr.coe.int/eng?i=001-158480" TargetMode="External"/><Relationship Id="rId284" Type="http://schemas.openxmlformats.org/officeDocument/2006/relationships/hyperlink" Target="http://hudoc.echr.coe.int/eng?i=001-91501" TargetMode="External"/><Relationship Id="rId37" Type="http://schemas.openxmlformats.org/officeDocument/2006/relationships/hyperlink" Target="http://hudoc.echr.coe.int/eng?i=001-157348" TargetMode="External"/><Relationship Id="rId58" Type="http://schemas.openxmlformats.org/officeDocument/2006/relationships/hyperlink" Target="http://hudoc.echr.coe.int/eng?i=001-186216" TargetMode="External"/><Relationship Id="rId79" Type="http://schemas.openxmlformats.org/officeDocument/2006/relationships/hyperlink" Target="http://hudoc.echr.coe.int/eng?i=001-115871" TargetMode="External"/><Relationship Id="rId102" Type="http://schemas.openxmlformats.org/officeDocument/2006/relationships/hyperlink" Target="http://hudoc.echr.coe.int/eng?i=001-163113" TargetMode="External"/><Relationship Id="rId123" Type="http://schemas.openxmlformats.org/officeDocument/2006/relationships/hyperlink" Target="http://hudoc.echr.coe.int/eng?i=001-58338" TargetMode="External"/><Relationship Id="rId144" Type="http://schemas.openxmlformats.org/officeDocument/2006/relationships/hyperlink" Target="http://hudoc.echr.coe.int/eng?i=001-163113" TargetMode="External"/><Relationship Id="rId90" Type="http://schemas.openxmlformats.org/officeDocument/2006/relationships/hyperlink" Target="http://hudoc.echr.coe.int/eng?i=001-101212" TargetMode="External"/><Relationship Id="rId165" Type="http://schemas.openxmlformats.org/officeDocument/2006/relationships/hyperlink" Target="http://hudoc.echr.coe.int/eng?i=001-91501" TargetMode="External"/><Relationship Id="rId186" Type="http://schemas.openxmlformats.org/officeDocument/2006/relationships/hyperlink" Target="http://hudoc.echr.coe.int/eng?i=001-60344" TargetMode="External"/><Relationship Id="rId211" Type="http://schemas.openxmlformats.org/officeDocument/2006/relationships/hyperlink" Target="http://hudoc.echr.coe.int/eng?i=001-187397" TargetMode="External"/><Relationship Id="rId232" Type="http://schemas.openxmlformats.org/officeDocument/2006/relationships/hyperlink" Target="http://hudoc.echr.coe.int/eng?i=001-71671" TargetMode="External"/><Relationship Id="rId253" Type="http://schemas.openxmlformats.org/officeDocument/2006/relationships/hyperlink" Target="http://hudoc.echr.coe.int/eng?i=001-95031" TargetMode="External"/><Relationship Id="rId274" Type="http://schemas.openxmlformats.org/officeDocument/2006/relationships/hyperlink" Target="http://hudoc.echr.coe.int/eng?i=001-186216" TargetMode="External"/><Relationship Id="rId295" Type="http://schemas.openxmlformats.org/officeDocument/2006/relationships/hyperlink" Target="http://hudoc.echr.coe.int/eng?i=001-60974" TargetMode="External"/><Relationship Id="rId309" Type="http://schemas.openxmlformats.org/officeDocument/2006/relationships/hyperlink" Target="http://hudoc.echr.coe.int/eng?i=001-180286" TargetMode="External"/><Relationship Id="rId27" Type="http://schemas.openxmlformats.org/officeDocument/2006/relationships/hyperlink" Target="http://hudoc.echr.coe.int/eng?i=001-186216" TargetMode="External"/><Relationship Id="rId48" Type="http://schemas.openxmlformats.org/officeDocument/2006/relationships/hyperlink" Target="http://hudoc.echr.coe.int/eng?i=001-187507" TargetMode="External"/><Relationship Id="rId69" Type="http://schemas.openxmlformats.org/officeDocument/2006/relationships/hyperlink" Target="http://hudoc.echr.coe.int/eng?i=001-115871" TargetMode="External"/><Relationship Id="rId113" Type="http://schemas.openxmlformats.org/officeDocument/2006/relationships/hyperlink" Target="http://hudoc.echr.coe.int/eng?i=001-58338" TargetMode="External"/><Relationship Id="rId134" Type="http://schemas.openxmlformats.org/officeDocument/2006/relationships/hyperlink" Target="http://hudoc.echr.coe.int/eng?i=001-58338" TargetMode="External"/><Relationship Id="rId80" Type="http://schemas.openxmlformats.org/officeDocument/2006/relationships/hyperlink" Target="http://hudoc.echr.coe.int/eng?i=001-186216" TargetMode="External"/><Relationship Id="rId155" Type="http://schemas.openxmlformats.org/officeDocument/2006/relationships/hyperlink" Target="http://hudoc.echr.coe.int/eng?i=001-91501" TargetMode="External"/><Relationship Id="rId176" Type="http://schemas.openxmlformats.org/officeDocument/2006/relationships/hyperlink" Target="http://hudoc.echr.coe.int/eng?i=001-182169" TargetMode="External"/><Relationship Id="rId197" Type="http://schemas.openxmlformats.org/officeDocument/2006/relationships/hyperlink" Target="http://hudoc.echr.coe.int/eng?i=001-104151" TargetMode="External"/><Relationship Id="rId201" Type="http://schemas.openxmlformats.org/officeDocument/2006/relationships/hyperlink" Target="http://hudoc.echr.coe.int/eng?i=001-60333" TargetMode="External"/><Relationship Id="rId222" Type="http://schemas.openxmlformats.org/officeDocument/2006/relationships/hyperlink" Target="http://hudoc.echr.coe.int/eng?i=001-60333" TargetMode="External"/><Relationship Id="rId243" Type="http://schemas.openxmlformats.org/officeDocument/2006/relationships/hyperlink" Target="http://hudoc.echr.coe.int/eng?i=001-186216" TargetMode="External"/><Relationship Id="rId264" Type="http://schemas.openxmlformats.org/officeDocument/2006/relationships/hyperlink" Target="http://hudoc.echr.coe.int/eng?i=001-159773" TargetMode="External"/><Relationship Id="rId285" Type="http://schemas.openxmlformats.org/officeDocument/2006/relationships/hyperlink" Target="http://hudoc.echr.coe.int/eng?i=001-102123" TargetMode="External"/><Relationship Id="rId17" Type="http://schemas.openxmlformats.org/officeDocument/2006/relationships/hyperlink" Target="http://hudoc.echr.coe.int/eng?i=001-186216" TargetMode="External"/><Relationship Id="rId38" Type="http://schemas.openxmlformats.org/officeDocument/2006/relationships/hyperlink" Target="http://hudoc.echr.coe.int/eng?i=001-122174" TargetMode="External"/><Relationship Id="rId59" Type="http://schemas.openxmlformats.org/officeDocument/2006/relationships/hyperlink" Target="http://hudoc.echr.coe.int/eng?i=001-115871" TargetMode="External"/><Relationship Id="rId103" Type="http://schemas.openxmlformats.org/officeDocument/2006/relationships/hyperlink" Target="http://hudoc.echr.coe.int/eng?i=001-163113" TargetMode="External"/><Relationship Id="rId124" Type="http://schemas.openxmlformats.org/officeDocument/2006/relationships/hyperlink" Target="http://hudoc.echr.coe.int/eng?i=001-91501" TargetMode="External"/><Relationship Id="rId310" Type="http://schemas.openxmlformats.org/officeDocument/2006/relationships/hyperlink" Target="http://hudoc.echr.coe.int/eng?i=001-181381" TargetMode="External"/><Relationship Id="rId70" Type="http://schemas.openxmlformats.org/officeDocument/2006/relationships/hyperlink" Target="http://hudoc.echr.coe.int/eng?i=001-115871" TargetMode="External"/><Relationship Id="rId91" Type="http://schemas.openxmlformats.org/officeDocument/2006/relationships/hyperlink" Target="http://hudoc.echr.coe.int/eng?i=001-5726" TargetMode="External"/><Relationship Id="rId145" Type="http://schemas.openxmlformats.org/officeDocument/2006/relationships/hyperlink" Target="http://hudoc.echr.coe.int/eng?i=001-163113" TargetMode="External"/><Relationship Id="rId166" Type="http://schemas.openxmlformats.org/officeDocument/2006/relationships/hyperlink" Target="http://hudoc.echr.coe.int/eng?i=001-57926" TargetMode="External"/><Relationship Id="rId187" Type="http://schemas.openxmlformats.org/officeDocument/2006/relationships/hyperlink" Target="http://hudoc.echr.coe.int/eng?i=001-127426" TargetMode="External"/><Relationship Id="rId1" Type="http://schemas.openxmlformats.org/officeDocument/2006/relationships/numbering" Target="numbering.xml"/><Relationship Id="rId212" Type="http://schemas.openxmlformats.org/officeDocument/2006/relationships/hyperlink" Target="http://hudoc.echr.coe.int/eng?i=001-61075" TargetMode="External"/><Relationship Id="rId233" Type="http://schemas.openxmlformats.org/officeDocument/2006/relationships/hyperlink" Target="http://hudoc.echr.coe.int/eng?i=001-126129" TargetMode="External"/><Relationship Id="rId254" Type="http://schemas.openxmlformats.org/officeDocument/2006/relationships/hyperlink" Target="http://hudoc.echr.coe.int/eng?i=001-98401" TargetMode="External"/><Relationship Id="rId28" Type="http://schemas.openxmlformats.org/officeDocument/2006/relationships/hyperlink" Target="http://hudoc.echr.coe.int/eng?i=001-105754" TargetMode="External"/><Relationship Id="rId49" Type="http://schemas.openxmlformats.org/officeDocument/2006/relationships/hyperlink" Target="http://hudoc.echr.coe.int/eng?i=001-163113" TargetMode="External"/><Relationship Id="rId114" Type="http://schemas.openxmlformats.org/officeDocument/2006/relationships/hyperlink" Target="http://hudoc.echr.coe.int/eng?i=001-163113" TargetMode="External"/><Relationship Id="rId275" Type="http://schemas.openxmlformats.org/officeDocument/2006/relationships/hyperlink" Target="http://hudoc.echr.coe.int/eng?i=001-188860" TargetMode="External"/><Relationship Id="rId296" Type="http://schemas.openxmlformats.org/officeDocument/2006/relationships/hyperlink" Target="http://hudoc.echr.coe.int/eng?i=001-61075" TargetMode="External"/><Relationship Id="rId300" Type="http://schemas.openxmlformats.org/officeDocument/2006/relationships/hyperlink" Target="http://hudoc.echr.coe.int/eng?i=001-85083" TargetMode="External"/><Relationship Id="rId60" Type="http://schemas.openxmlformats.org/officeDocument/2006/relationships/hyperlink" Target="http://hudoc.echr.coe.int/eng?i=001-186216" TargetMode="External"/><Relationship Id="rId81" Type="http://schemas.openxmlformats.org/officeDocument/2006/relationships/hyperlink" Target="http://hudoc.echr.coe.int/eng?i=001-188860" TargetMode="External"/><Relationship Id="rId135" Type="http://schemas.openxmlformats.org/officeDocument/2006/relationships/hyperlink" Target="http://hudoc.echr.coe.int/eng?i=001-84828" TargetMode="External"/><Relationship Id="rId156" Type="http://schemas.openxmlformats.org/officeDocument/2006/relationships/hyperlink" Target="http://hudoc.echr.coe.int/eng?i=001-122174" TargetMode="External"/><Relationship Id="rId177" Type="http://schemas.openxmlformats.org/officeDocument/2006/relationships/hyperlink" Target="http://hudoc.echr.coe.int/eng?i=001-98401" TargetMode="External"/><Relationship Id="rId198" Type="http://schemas.openxmlformats.org/officeDocument/2006/relationships/hyperlink" Target="http://hudoc.echr.coe.int/eng?i=001-85084" TargetMode="External"/><Relationship Id="rId202" Type="http://schemas.openxmlformats.org/officeDocument/2006/relationships/hyperlink" Target="http://hudoc.echr.coe.int/eng?i=001-155974" TargetMode="External"/><Relationship Id="rId223" Type="http://schemas.openxmlformats.org/officeDocument/2006/relationships/hyperlink" Target="http://hudoc.echr.coe.int/eng?i=001-60333" TargetMode="External"/><Relationship Id="rId244" Type="http://schemas.openxmlformats.org/officeDocument/2006/relationships/hyperlink" Target="http://hudoc.echr.coe.int/eng?i=001-187507" TargetMode="External"/><Relationship Id="rId18" Type="http://schemas.openxmlformats.org/officeDocument/2006/relationships/hyperlink" Target="http://hudoc.echr.coe.int/eng?i=001-95031" TargetMode="External"/><Relationship Id="rId39" Type="http://schemas.openxmlformats.org/officeDocument/2006/relationships/hyperlink" Target="http://hudoc.echr.coe.int/eng?i=001-187507" TargetMode="External"/><Relationship Id="rId265" Type="http://schemas.openxmlformats.org/officeDocument/2006/relationships/hyperlink" Target="http://hudoc.echr.coe.int/eng?i=001-170362" TargetMode="External"/><Relationship Id="rId286" Type="http://schemas.openxmlformats.org/officeDocument/2006/relationships/hyperlink" Target="http://hudoc.echr.coe.int/eng?i=001-122174" TargetMode="External"/><Relationship Id="rId50" Type="http://schemas.openxmlformats.org/officeDocument/2006/relationships/hyperlink" Target="http://hudoc.echr.coe.int/eng?i=001-173621" TargetMode="External"/><Relationship Id="rId104" Type="http://schemas.openxmlformats.org/officeDocument/2006/relationships/hyperlink" Target="http://hudoc.echr.coe.int/eng?i=001-163113" TargetMode="External"/><Relationship Id="rId125" Type="http://schemas.openxmlformats.org/officeDocument/2006/relationships/hyperlink" Target="http://hudoc.echr.coe.int/eng?i=001-163113" TargetMode="External"/><Relationship Id="rId146" Type="http://schemas.openxmlformats.org/officeDocument/2006/relationships/hyperlink" Target="http://hudoc.echr.coe.int/eng?i=001-58338" TargetMode="External"/><Relationship Id="rId167" Type="http://schemas.openxmlformats.org/officeDocument/2006/relationships/hyperlink" Target="http://hudoc.echr.coe.int/eng?i=001-163113" TargetMode="External"/><Relationship Id="rId188" Type="http://schemas.openxmlformats.org/officeDocument/2006/relationships/hyperlink" Target="http://hudoc.echr.coe.int/eng?i=001-154265" TargetMode="External"/><Relationship Id="rId311" Type="http://schemas.openxmlformats.org/officeDocument/2006/relationships/hyperlink" Target="http://hudoc.echr.coe.int/eng?i=001-187397" TargetMode="External"/><Relationship Id="rId71" Type="http://schemas.openxmlformats.org/officeDocument/2006/relationships/hyperlink" Target="http://hudoc.echr.coe.int/eng?i=001-114666" TargetMode="External"/><Relationship Id="rId92" Type="http://schemas.openxmlformats.org/officeDocument/2006/relationships/hyperlink" Target="http://hudoc.echr.coe.int/eng?i=001-163113" TargetMode="External"/><Relationship Id="rId213" Type="http://schemas.openxmlformats.org/officeDocument/2006/relationships/hyperlink" Target="http://hudoc.echr.coe.int/eng?i=001-161898" TargetMode="External"/><Relationship Id="rId234" Type="http://schemas.openxmlformats.org/officeDocument/2006/relationships/hyperlink" Target="http://hudoc.echr.coe.int/eng?i=001-73016" TargetMode="External"/><Relationship Id="rId2" Type="http://schemas.openxmlformats.org/officeDocument/2006/relationships/styles" Target="styles.xml"/><Relationship Id="rId29" Type="http://schemas.openxmlformats.org/officeDocument/2006/relationships/hyperlink" Target="http://hudoc.echr.coe.int/eng?i=001-114308" TargetMode="External"/><Relationship Id="rId255" Type="http://schemas.openxmlformats.org/officeDocument/2006/relationships/hyperlink" Target="http://hudoc.echr.coe.int/eng?i=001-105754" TargetMode="External"/><Relationship Id="rId276" Type="http://schemas.openxmlformats.org/officeDocument/2006/relationships/hyperlink" Target="http://hudoc.echr.coe.int/eng?i=001-5726" TargetMode="External"/><Relationship Id="rId297" Type="http://schemas.openxmlformats.org/officeDocument/2006/relationships/hyperlink" Target="http://hudoc.echr.coe.int/eng?i=001-61105" TargetMode="External"/><Relationship Id="rId40" Type="http://schemas.openxmlformats.org/officeDocument/2006/relationships/hyperlink" Target="http://hudoc.echr.coe.int/eng?i=001-115871" TargetMode="External"/><Relationship Id="rId115" Type="http://schemas.openxmlformats.org/officeDocument/2006/relationships/hyperlink" Target="http://hudoc.echr.coe.int/eng?i=001-89519" TargetMode="External"/><Relationship Id="rId136" Type="http://schemas.openxmlformats.org/officeDocument/2006/relationships/hyperlink" Target="http://hudoc.echr.coe.int/eng?i=001-58338" TargetMode="External"/><Relationship Id="rId157" Type="http://schemas.openxmlformats.org/officeDocument/2006/relationships/hyperlink" Target="http://hudoc.echr.coe.int/eng?i=001-163113" TargetMode="External"/><Relationship Id="rId178" Type="http://schemas.openxmlformats.org/officeDocument/2006/relationships/hyperlink" Target="http://hudoc.echr.coe.int/eng?i=001-65362" TargetMode="External"/><Relationship Id="rId301" Type="http://schemas.openxmlformats.org/officeDocument/2006/relationships/hyperlink" Target="http://hudoc.echr.coe.int/eng?i=001-99888" TargetMode="External"/><Relationship Id="rId61" Type="http://schemas.openxmlformats.org/officeDocument/2006/relationships/hyperlink" Target="http://hudoc.echr.coe.int/eng?i=001-115871" TargetMode="External"/><Relationship Id="rId82" Type="http://schemas.openxmlformats.org/officeDocument/2006/relationships/hyperlink" Target="http://hudoc.echr.coe.int/eng?i=001-115871" TargetMode="External"/><Relationship Id="rId199" Type="http://schemas.openxmlformats.org/officeDocument/2006/relationships/hyperlink" Target="http://hudoc.echr.coe.int/eng?i=001-154265" TargetMode="External"/><Relationship Id="rId203" Type="http://schemas.openxmlformats.org/officeDocument/2006/relationships/hyperlink" Target="http://hudoc.echr.coe.int/eng?i=001-126129" TargetMode="External"/><Relationship Id="rId19" Type="http://schemas.openxmlformats.org/officeDocument/2006/relationships/hyperlink" Target="http://hudoc.echr.coe.int/eng?i=001-58087" TargetMode="External"/><Relationship Id="rId224" Type="http://schemas.openxmlformats.org/officeDocument/2006/relationships/hyperlink" Target="http://hudoc.echr.coe.int/eng?i=001-154265" TargetMode="External"/><Relationship Id="rId245" Type="http://schemas.openxmlformats.org/officeDocument/2006/relationships/hyperlink" Target="http://hudoc.echr.coe.int/eng?i=001-58855" TargetMode="External"/><Relationship Id="rId266" Type="http://schemas.openxmlformats.org/officeDocument/2006/relationships/hyperlink" Target="http://hudoc.echr.coe.int/eng?i=001-172315" TargetMode="External"/><Relationship Id="rId287" Type="http://schemas.openxmlformats.org/officeDocument/2006/relationships/hyperlink" Target="http://hudoc.echr.coe.int/eng?i=001-169737" TargetMode="External"/><Relationship Id="rId30" Type="http://schemas.openxmlformats.org/officeDocument/2006/relationships/hyperlink" Target="http://hudoc.echr.coe.int/eng?i=001-157348" TargetMode="External"/><Relationship Id="rId105" Type="http://schemas.openxmlformats.org/officeDocument/2006/relationships/hyperlink" Target="http://hudoc.echr.coe.int/eng?i=001-58338" TargetMode="External"/><Relationship Id="rId126" Type="http://schemas.openxmlformats.org/officeDocument/2006/relationships/hyperlink" Target="http://hudoc.echr.coe.int/eng?i=001-163113" TargetMode="External"/><Relationship Id="rId147" Type="http://schemas.openxmlformats.org/officeDocument/2006/relationships/hyperlink" Target="http://hudoc.echr.coe.int/eng?i=001-163113" TargetMode="External"/><Relationship Id="rId168" Type="http://schemas.openxmlformats.org/officeDocument/2006/relationships/hyperlink" Target="http://hudoc.echr.coe.int/eng?i=001-58304" TargetMode="External"/><Relationship Id="rId312" Type="http://schemas.openxmlformats.org/officeDocument/2006/relationships/hyperlink" Target="http://hudoc.echr.coe.int/eng?i=001-187940" TargetMode="External"/><Relationship Id="rId51" Type="http://schemas.openxmlformats.org/officeDocument/2006/relationships/hyperlink" Target="http://hudoc.echr.coe.int/eng?i=001-115871" TargetMode="External"/><Relationship Id="rId72" Type="http://schemas.openxmlformats.org/officeDocument/2006/relationships/hyperlink" Target="http://hudoc.echr.coe.int/eng?i=001-186216" TargetMode="External"/><Relationship Id="rId93" Type="http://schemas.openxmlformats.org/officeDocument/2006/relationships/hyperlink" Target="http://hudoc.echr.coe.int/eng?i=001-154265" TargetMode="External"/><Relationship Id="rId189" Type="http://schemas.openxmlformats.org/officeDocument/2006/relationships/hyperlink" Target="http://hudoc.echr.coe.int/eng?i=001-57926" TargetMode="External"/><Relationship Id="rId3" Type="http://schemas.openxmlformats.org/officeDocument/2006/relationships/settings" Target="settings.xml"/><Relationship Id="rId214" Type="http://schemas.openxmlformats.org/officeDocument/2006/relationships/hyperlink" Target="http://hudoc.echr.coe.int/eng?i=001-61075" TargetMode="External"/><Relationship Id="rId235" Type="http://schemas.openxmlformats.org/officeDocument/2006/relationships/hyperlink" Target="http://hudoc.echr.coe.int/eng?i=001-61105" TargetMode="External"/><Relationship Id="rId256" Type="http://schemas.openxmlformats.org/officeDocument/2006/relationships/hyperlink" Target="http://hudoc.echr.coe.int/eng?i=001-114308" TargetMode="External"/><Relationship Id="rId277" Type="http://schemas.openxmlformats.org/officeDocument/2006/relationships/hyperlink" Target="http://hudoc.echr.coe.int/eng?i=001-58338" TargetMode="External"/><Relationship Id="rId298" Type="http://schemas.openxmlformats.org/officeDocument/2006/relationships/hyperlink" Target="http://hudoc.echr.coe.int/eng?i=001-61716" TargetMode="External"/><Relationship Id="rId116" Type="http://schemas.openxmlformats.org/officeDocument/2006/relationships/hyperlink" Target="http://hudoc.echr.coe.int/eng?i=001-163113" TargetMode="External"/><Relationship Id="rId137" Type="http://schemas.openxmlformats.org/officeDocument/2006/relationships/hyperlink" Target="http://hudoc.echr.coe.int/eng?i=001-84828" TargetMode="External"/><Relationship Id="rId158" Type="http://schemas.openxmlformats.org/officeDocument/2006/relationships/hyperlink" Target="http://hudoc.echr.coe.int/eng?i=001-91501" TargetMode="External"/><Relationship Id="rId302" Type="http://schemas.openxmlformats.org/officeDocument/2006/relationships/hyperlink" Target="http://hudoc.echr.coe.int/eng?i=001-104151" TargetMode="External"/><Relationship Id="rId20" Type="http://schemas.openxmlformats.org/officeDocument/2006/relationships/hyperlink" Target="http://hudoc.echr.coe.int/eng?i=001-95031" TargetMode="External"/><Relationship Id="rId41" Type="http://schemas.openxmlformats.org/officeDocument/2006/relationships/hyperlink" Target="http://hudoc.echr.coe.int/eng?i=001-172315" TargetMode="External"/><Relationship Id="rId62" Type="http://schemas.openxmlformats.org/officeDocument/2006/relationships/hyperlink" Target="http://hudoc.echr.coe.int/eng?i=001-186216" TargetMode="External"/><Relationship Id="rId83" Type="http://schemas.openxmlformats.org/officeDocument/2006/relationships/hyperlink" Target="http://hudoc.echr.coe.int/eng?i=001-115871" TargetMode="External"/><Relationship Id="rId179" Type="http://schemas.openxmlformats.org/officeDocument/2006/relationships/hyperlink" Target="http://hudoc.echr.coe.int/eng?i=001-158480" TargetMode="External"/><Relationship Id="rId190" Type="http://schemas.openxmlformats.org/officeDocument/2006/relationships/hyperlink" Target="http://hudoc.echr.coe.int/eng?i=001-60974" TargetMode="External"/><Relationship Id="rId204" Type="http://schemas.openxmlformats.org/officeDocument/2006/relationships/hyperlink" Target="http://hudoc.echr.coe.int/eng?i=001-154265" TargetMode="External"/><Relationship Id="rId225" Type="http://schemas.openxmlformats.org/officeDocument/2006/relationships/hyperlink" Target="http://hudoc.echr.coe.int/eng?i=001-154265" TargetMode="External"/><Relationship Id="rId246" Type="http://schemas.openxmlformats.org/officeDocument/2006/relationships/hyperlink" Target="http://hudoc.echr.coe.int/eng?i=001-60344" TargetMode="External"/><Relationship Id="rId267" Type="http://schemas.openxmlformats.org/officeDocument/2006/relationships/hyperlink" Target="http://hudoc.echr.coe.int/eng?i=001-173621" TargetMode="External"/><Relationship Id="rId288" Type="http://schemas.openxmlformats.org/officeDocument/2006/relationships/hyperlink" Target="http://hudoc.echr.coe.int/eng?i=001-188274" TargetMode="External"/><Relationship Id="rId106" Type="http://schemas.openxmlformats.org/officeDocument/2006/relationships/hyperlink" Target="http://hudoc.echr.coe.int/eng?i=001-163113" TargetMode="External"/><Relationship Id="rId127" Type="http://schemas.openxmlformats.org/officeDocument/2006/relationships/hyperlink" Target="http://hudoc.echr.coe.int/eng?i=001-58338" TargetMode="External"/><Relationship Id="rId313" Type="http://schemas.openxmlformats.org/officeDocument/2006/relationships/hyperlink" Target="http://hudoc.echr.coe.int/eng?i=001-61638" TargetMode="External"/><Relationship Id="rId10" Type="http://schemas.openxmlformats.org/officeDocument/2006/relationships/footer" Target="footer2.xml"/><Relationship Id="rId31" Type="http://schemas.openxmlformats.org/officeDocument/2006/relationships/hyperlink" Target="http://hudoc.echr.coe.int/eng?i=001-92803" TargetMode="External"/><Relationship Id="rId52" Type="http://schemas.openxmlformats.org/officeDocument/2006/relationships/hyperlink" Target="http://hudoc.echr.coe.int/eng?i=001-186216" TargetMode="External"/><Relationship Id="rId73" Type="http://schemas.openxmlformats.org/officeDocument/2006/relationships/hyperlink" Target="http://hudoc.echr.coe.int/eng?i=001-188860" TargetMode="External"/><Relationship Id="rId94" Type="http://schemas.openxmlformats.org/officeDocument/2006/relationships/hyperlink" Target="http://hudoc.echr.coe.int/eng?i=001-187397" TargetMode="External"/><Relationship Id="rId148" Type="http://schemas.openxmlformats.org/officeDocument/2006/relationships/hyperlink" Target="http://hudoc.echr.coe.int/eng?i=001-89519" TargetMode="External"/><Relationship Id="rId169" Type="http://schemas.openxmlformats.org/officeDocument/2006/relationships/hyperlink" Target="http://hudoc.echr.coe.int/eng?i=001-89519" TargetMode="External"/><Relationship Id="rId4" Type="http://schemas.openxmlformats.org/officeDocument/2006/relationships/webSettings" Target="webSettings.xml"/><Relationship Id="rId180" Type="http://schemas.openxmlformats.org/officeDocument/2006/relationships/hyperlink" Target="http://hudoc.echr.coe.int/eng?i=001-98401" TargetMode="External"/><Relationship Id="rId215" Type="http://schemas.openxmlformats.org/officeDocument/2006/relationships/hyperlink" Target="http://hudoc.echr.coe.int/eng?i=001-144129" TargetMode="External"/><Relationship Id="rId236" Type="http://schemas.openxmlformats.org/officeDocument/2006/relationships/hyperlink" Target="http://hudoc.echr.coe.int/eng?i=001-187940" TargetMode="External"/><Relationship Id="rId257" Type="http://schemas.openxmlformats.org/officeDocument/2006/relationships/hyperlink" Target="http://hudoc.echr.coe.int/eng?i=001-114666" TargetMode="External"/><Relationship Id="rId278" Type="http://schemas.openxmlformats.org/officeDocument/2006/relationships/hyperlink" Target="http://hudoc.echr.coe.int/eng?i=001-163113" TargetMode="External"/><Relationship Id="rId303" Type="http://schemas.openxmlformats.org/officeDocument/2006/relationships/hyperlink" Target="http://hudoc.echr.coe.int/eng?i=001-126129" TargetMode="External"/><Relationship Id="rId42" Type="http://schemas.openxmlformats.org/officeDocument/2006/relationships/hyperlink" Target="http://hudoc.echr.coe.int/eng?i=001-178174" TargetMode="External"/><Relationship Id="rId84" Type="http://schemas.openxmlformats.org/officeDocument/2006/relationships/hyperlink" Target="http://hudoc.echr.coe.int/eng?i=001-115871" TargetMode="External"/><Relationship Id="rId138" Type="http://schemas.openxmlformats.org/officeDocument/2006/relationships/hyperlink" Target="http://hudoc.echr.coe.int/eng?i=001-84828" TargetMode="External"/><Relationship Id="rId191" Type="http://schemas.openxmlformats.org/officeDocument/2006/relationships/hyperlink" Target="http://hudoc.echr.coe.int/eng?i=001-154265" TargetMode="External"/><Relationship Id="rId205" Type="http://schemas.openxmlformats.org/officeDocument/2006/relationships/hyperlink" Target="http://hudoc.echr.coe.int/eng?i=001-60333" TargetMode="External"/><Relationship Id="rId247" Type="http://schemas.openxmlformats.org/officeDocument/2006/relationships/hyperlink" Target="http://hudoc.echr.coe.int/eng?i=001-65362" TargetMode="External"/><Relationship Id="rId107" Type="http://schemas.openxmlformats.org/officeDocument/2006/relationships/hyperlink" Target="http://hudoc.echr.coe.int/eng?i=001-24031" TargetMode="External"/><Relationship Id="rId289" Type="http://schemas.openxmlformats.org/officeDocument/2006/relationships/hyperlink" Target="http://hudoc.echr.coe.int/eng?i=001-71671" TargetMode="External"/><Relationship Id="rId11" Type="http://schemas.openxmlformats.org/officeDocument/2006/relationships/header" Target="header3.xml"/><Relationship Id="rId53" Type="http://schemas.openxmlformats.org/officeDocument/2006/relationships/hyperlink" Target="http://hudoc.echr.coe.int/eng?i=001-187507" TargetMode="External"/><Relationship Id="rId149" Type="http://schemas.openxmlformats.org/officeDocument/2006/relationships/hyperlink" Target="http://hudoc.echr.coe.int/eng?i=001-102123" TargetMode="External"/><Relationship Id="rId314" Type="http://schemas.openxmlformats.org/officeDocument/2006/relationships/header" Target="header4.xml"/><Relationship Id="rId95" Type="http://schemas.openxmlformats.org/officeDocument/2006/relationships/hyperlink" Target="http://hudoc.echr.coe.int/eng?i=001-58012" TargetMode="External"/><Relationship Id="rId160" Type="http://schemas.openxmlformats.org/officeDocument/2006/relationships/hyperlink" Target="http://hudoc.echr.coe.int/eng?i=001-58338" TargetMode="External"/><Relationship Id="rId216" Type="http://schemas.openxmlformats.org/officeDocument/2006/relationships/hyperlink" Target="http://hudoc.echr.coe.int/eng?i=001-144129" TargetMode="External"/><Relationship Id="rId258" Type="http://schemas.openxmlformats.org/officeDocument/2006/relationships/hyperlink" Target="http://hudoc.echr.coe.int/eng?i=001-122174" TargetMode="External"/><Relationship Id="rId22" Type="http://schemas.openxmlformats.org/officeDocument/2006/relationships/hyperlink" Target="http://hudoc.echr.coe.int/eng?i=001-115871" TargetMode="External"/><Relationship Id="rId64" Type="http://schemas.openxmlformats.org/officeDocument/2006/relationships/hyperlink" Target="http://hudoc.echr.coe.int/eng?i=001-186216" TargetMode="External"/><Relationship Id="rId118" Type="http://schemas.openxmlformats.org/officeDocument/2006/relationships/hyperlink" Target="http://hudoc.echr.coe.int/eng?i=001-163113" TargetMode="External"/><Relationship Id="rId171" Type="http://schemas.openxmlformats.org/officeDocument/2006/relationships/hyperlink" Target="http://hudoc.echr.coe.int/eng?i=001-122174" TargetMode="External"/><Relationship Id="rId227" Type="http://schemas.openxmlformats.org/officeDocument/2006/relationships/hyperlink" Target="http://hudoc.echr.coe.int/eng?i=001-154265" TargetMode="External"/><Relationship Id="rId269" Type="http://schemas.openxmlformats.org/officeDocument/2006/relationships/hyperlink" Target="http://hudoc.echr.coe.int/eng?i=001-182169" TargetMode="External"/><Relationship Id="rId33" Type="http://schemas.openxmlformats.org/officeDocument/2006/relationships/hyperlink" Target="http://hudoc.echr.coe.int/eng?i=001-114308" TargetMode="External"/><Relationship Id="rId129" Type="http://schemas.openxmlformats.org/officeDocument/2006/relationships/hyperlink" Target="http://hudoc.echr.coe.int/eng?i=001-91501" TargetMode="External"/><Relationship Id="rId280" Type="http://schemas.openxmlformats.org/officeDocument/2006/relationships/hyperlink" Target="http://hudoc.echr.coe.int/eng?i=001-5726" TargetMode="External"/><Relationship Id="rId75" Type="http://schemas.openxmlformats.org/officeDocument/2006/relationships/hyperlink" Target="http://hudoc.echr.coe.int/eng?i=001-188860" TargetMode="External"/><Relationship Id="rId140" Type="http://schemas.openxmlformats.org/officeDocument/2006/relationships/hyperlink" Target="http://hudoc.echr.coe.int/eng?i=001-58338" TargetMode="External"/><Relationship Id="rId182" Type="http://schemas.openxmlformats.org/officeDocument/2006/relationships/hyperlink" Target="http://hudoc.echr.coe.int/eng?i=001-58855" TargetMode="External"/><Relationship Id="rId6" Type="http://schemas.openxmlformats.org/officeDocument/2006/relationships/endnotes" Target="endnotes.xml"/><Relationship Id="rId238" Type="http://schemas.openxmlformats.org/officeDocument/2006/relationships/hyperlink" Target="http://hudoc.echr.coe.int/eng?i=001-99888" TargetMode="External"/><Relationship Id="rId291" Type="http://schemas.openxmlformats.org/officeDocument/2006/relationships/hyperlink" Target="http://hudoc.echr.coe.int/eng?i=001-57926" TargetMode="External"/><Relationship Id="rId305" Type="http://schemas.openxmlformats.org/officeDocument/2006/relationships/hyperlink" Target="http://hudoc.echr.coe.int/eng?i=001-155974" TargetMode="External"/><Relationship Id="rId44" Type="http://schemas.openxmlformats.org/officeDocument/2006/relationships/hyperlink" Target="http://hudoc.echr.coe.int/eng?i=001-114666" TargetMode="External"/><Relationship Id="rId86" Type="http://schemas.openxmlformats.org/officeDocument/2006/relationships/hyperlink" Target="http://hudoc.echr.coe.int/eng?i=001-170362" TargetMode="External"/><Relationship Id="rId151" Type="http://schemas.openxmlformats.org/officeDocument/2006/relationships/hyperlink" Target="http://hudoc.echr.coe.int/eng?i=001-188274" TargetMode="External"/><Relationship Id="rId193" Type="http://schemas.openxmlformats.org/officeDocument/2006/relationships/hyperlink" Target="http://hudoc.echr.coe.int/eng?i=001-61105" TargetMode="External"/><Relationship Id="rId207" Type="http://schemas.openxmlformats.org/officeDocument/2006/relationships/hyperlink" Target="http://hudoc.echr.coe.int/eng?i=001-161898" TargetMode="External"/><Relationship Id="rId249" Type="http://schemas.openxmlformats.org/officeDocument/2006/relationships/hyperlink" Target="http://hudoc.echr.coe.int/eng?i=001-8024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11177</Words>
  <Characters>67064</Characters>
  <Application>Microsoft Office Word</Application>
  <DocSecurity>0</DocSecurity>
  <Lines>558</Lines>
  <Paragraphs>156</Paragraphs>
  <ScaleCrop>false</ScaleCrop>
  <HeadingPairs>
    <vt:vector size="2" baseType="variant">
      <vt:variant>
        <vt:lpstr>Tytuł</vt:lpstr>
      </vt:variant>
      <vt:variant>
        <vt:i4>1</vt:i4>
      </vt:variant>
    </vt:vector>
  </HeadingPairs>
  <TitlesOfParts>
    <vt:vector size="1" baseType="lpstr">
      <vt:lpstr>© Copyright for the Polish translation by Naczelny Sąd Administracyjny, Warszawa 2019</vt:lpstr>
    </vt:vector>
  </TitlesOfParts>
  <Company>European court of Human Right</Company>
  <LinksUpToDate>false</LinksUpToDate>
  <CharactersWithSpaces>78085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Copyright for the Polish translation by Naczelny Sąd Administracyjny, Warszawa 2019</dc:title>
  <dc:subject/>
  <dc:creator>Ozcan, Idil</dc:creator>
  <cp:keywords/>
  <dc:description/>
  <cp:lastModifiedBy>Marta Kulikowska</cp:lastModifiedBy>
  <cp:revision>3</cp:revision>
  <cp:lastPrinted>2019-01-24T10:33:00Z</cp:lastPrinted>
  <dcterms:created xsi:type="dcterms:W3CDTF">2019-04-24T09:02:00Z</dcterms:created>
  <dcterms:modified xsi:type="dcterms:W3CDTF">2019-04-24T09:02:00Z</dcterms:modified>
</cp:coreProperties>
</file>