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75" w:rsidRPr="00872E5D" w:rsidRDefault="001C1275" w:rsidP="00452CEA">
      <w:pPr>
        <w:jc w:val="center"/>
        <w:rPr>
          <w:b/>
          <w:bCs/>
          <w:snapToGrid w:val="0"/>
        </w:rPr>
      </w:pPr>
    </w:p>
    <w:p w:rsidR="001C1275" w:rsidRPr="00C733AF" w:rsidRDefault="001C1275" w:rsidP="00B41EA2">
      <w:pPr>
        <w:jc w:val="center"/>
        <w:rPr>
          <w:sz w:val="20"/>
          <w:szCs w:val="20"/>
          <w:lang w:val="pl-PL"/>
        </w:rPr>
      </w:pPr>
      <w:r w:rsidRPr="00C733AF">
        <w:rPr>
          <w:rStyle w:val="s4f807e54"/>
          <w:rFonts w:ascii="Arial" w:hAnsi="Arial" w:cs="Arial"/>
          <w:sz w:val="20"/>
          <w:szCs w:val="20"/>
          <w:lang w:val="pl-PL" w:eastAsia="pl-PL"/>
        </w:rPr>
        <w:t>© Copyright for the Polish translation by Naczelny Sąd Administracyjny, Warszawa 2016</w:t>
      </w:r>
    </w:p>
    <w:p w:rsidR="001C1275" w:rsidRPr="00C733AF" w:rsidRDefault="001C1275" w:rsidP="00452CEA">
      <w:pPr>
        <w:jc w:val="center"/>
        <w:rPr>
          <w:b/>
          <w:bCs/>
          <w:snapToGrid w:val="0"/>
          <w:lang w:val="pl-PL"/>
        </w:rPr>
      </w:pPr>
    </w:p>
    <w:p w:rsidR="001C1275" w:rsidRPr="00C733AF" w:rsidRDefault="001C1275" w:rsidP="00452CEA">
      <w:pPr>
        <w:jc w:val="center"/>
        <w:rPr>
          <w:lang w:val="pl-PL"/>
        </w:rPr>
      </w:pPr>
    </w:p>
    <w:p w:rsidR="001C1275" w:rsidRPr="00C733AF" w:rsidRDefault="001C1275" w:rsidP="00452CEA">
      <w:pPr>
        <w:tabs>
          <w:tab w:val="left" w:pos="5670"/>
        </w:tabs>
        <w:jc w:val="center"/>
        <w:rPr>
          <w:b/>
          <w:bCs/>
          <w:lang w:val="pl-PL"/>
        </w:rPr>
      </w:pPr>
    </w:p>
    <w:p w:rsidR="001C1275" w:rsidRPr="00C733AF" w:rsidRDefault="001C1275" w:rsidP="00452CEA">
      <w:pPr>
        <w:jc w:val="center"/>
        <w:rPr>
          <w:lang w:val="pl-PL"/>
        </w:rPr>
      </w:pPr>
    </w:p>
    <w:p w:rsidR="001C1275" w:rsidRDefault="001C1275" w:rsidP="00B41EA2">
      <w:pPr>
        <w:jc w:val="center"/>
        <w:rPr>
          <w:lang w:val="pl-PL"/>
        </w:rPr>
      </w:pPr>
      <w:r>
        <w:rPr>
          <w:lang w:val="pl-PL"/>
        </w:rPr>
        <w:t>EUROPEJSKI TRYBUNAŁ PRAW CZŁOWIEKA</w:t>
      </w:r>
    </w:p>
    <w:p w:rsidR="001C1275" w:rsidRDefault="001C1275" w:rsidP="00B41EA2">
      <w:pPr>
        <w:jc w:val="center"/>
        <w:rPr>
          <w:lang w:val="pl-PL"/>
        </w:rPr>
      </w:pPr>
    </w:p>
    <w:p w:rsidR="001C1275" w:rsidRPr="00035BB8" w:rsidRDefault="001C1275" w:rsidP="00B41EA2">
      <w:pPr>
        <w:jc w:val="center"/>
        <w:rPr>
          <w:lang w:val="pl-PL"/>
        </w:rPr>
      </w:pPr>
      <w:r w:rsidRPr="00035BB8">
        <w:rPr>
          <w:lang w:val="pl-PL"/>
        </w:rPr>
        <w:t>WIELKA IZBA</w:t>
      </w:r>
    </w:p>
    <w:p w:rsidR="001C1275" w:rsidRPr="00B41EA2" w:rsidRDefault="001C1275" w:rsidP="00452CEA">
      <w:pPr>
        <w:jc w:val="center"/>
        <w:rPr>
          <w:lang w:val="pl-PL"/>
        </w:rPr>
      </w:pPr>
    </w:p>
    <w:p w:rsidR="001C1275" w:rsidRPr="00B41EA2" w:rsidRDefault="001C1275" w:rsidP="00452CEA">
      <w:pPr>
        <w:tabs>
          <w:tab w:val="left" w:pos="4536"/>
        </w:tabs>
        <w:jc w:val="center"/>
        <w:rPr>
          <w:lang w:val="pl-PL"/>
        </w:rPr>
      </w:pPr>
    </w:p>
    <w:p w:rsidR="001C1275" w:rsidRPr="00B41EA2" w:rsidRDefault="001C1275" w:rsidP="00452CEA">
      <w:pPr>
        <w:jc w:val="center"/>
        <w:rPr>
          <w:lang w:val="pl-PL"/>
        </w:rPr>
      </w:pPr>
    </w:p>
    <w:p w:rsidR="001C1275" w:rsidRPr="00B41EA2" w:rsidRDefault="001C1275" w:rsidP="00B41EA2">
      <w:pPr>
        <w:rPr>
          <w:lang w:val="pl-PL"/>
        </w:rPr>
      </w:pPr>
    </w:p>
    <w:p w:rsidR="001C1275" w:rsidRPr="00B41EA2" w:rsidRDefault="001C1275" w:rsidP="00452CEA">
      <w:pPr>
        <w:jc w:val="center"/>
        <w:rPr>
          <w:lang w:val="pl-PL"/>
        </w:rPr>
      </w:pPr>
    </w:p>
    <w:p w:rsidR="001C1275" w:rsidRPr="00B41EA2" w:rsidRDefault="001C1275" w:rsidP="00452CEA">
      <w:pPr>
        <w:jc w:val="center"/>
        <w:rPr>
          <w:b/>
          <w:bCs/>
          <w:lang w:val="pl-PL"/>
        </w:rPr>
      </w:pPr>
      <w:bookmarkStart w:id="0" w:name="To"/>
      <w:r w:rsidRPr="00B41EA2">
        <w:rPr>
          <w:b/>
          <w:bCs/>
          <w:lang w:val="pl-PL"/>
        </w:rPr>
        <w:t xml:space="preserve">SPRAWA </w:t>
      </w:r>
      <w:bookmarkEnd w:id="0"/>
      <w:r w:rsidRPr="00B41EA2">
        <w:rPr>
          <w:b/>
          <w:bCs/>
          <w:lang w:val="pl-PL"/>
        </w:rPr>
        <w:t xml:space="preserve">BOCHAN </w:t>
      </w:r>
      <w:r>
        <w:rPr>
          <w:b/>
          <w:bCs/>
          <w:lang w:val="pl-PL"/>
        </w:rPr>
        <w:t>przeciwko</w:t>
      </w:r>
      <w:r w:rsidRPr="00B41EA2">
        <w:rPr>
          <w:b/>
          <w:bCs/>
          <w:lang w:val="pl-PL"/>
        </w:rPr>
        <w:t xml:space="preserve"> UKRAIN</w:t>
      </w:r>
      <w:r>
        <w:rPr>
          <w:b/>
          <w:bCs/>
          <w:lang w:val="pl-PL"/>
        </w:rPr>
        <w:t>IE (nr</w:t>
      </w:r>
      <w:r w:rsidRPr="00B41EA2">
        <w:rPr>
          <w:b/>
          <w:bCs/>
          <w:lang w:val="pl-PL"/>
        </w:rPr>
        <w:t xml:space="preserve"> 2)</w:t>
      </w:r>
    </w:p>
    <w:p w:rsidR="001C1275" w:rsidRPr="00B41EA2" w:rsidRDefault="001C1275" w:rsidP="00452CEA">
      <w:pPr>
        <w:jc w:val="center"/>
        <w:rPr>
          <w:lang w:val="pl-PL"/>
        </w:rPr>
      </w:pPr>
    </w:p>
    <w:p w:rsidR="001C1275" w:rsidRPr="007735BD" w:rsidRDefault="001C1275" w:rsidP="00452CEA">
      <w:pPr>
        <w:jc w:val="center"/>
        <w:rPr>
          <w:i/>
          <w:iCs/>
          <w:lang w:val="pl-PL"/>
        </w:rPr>
      </w:pPr>
      <w:r w:rsidRPr="007735BD">
        <w:rPr>
          <w:i/>
          <w:iCs/>
          <w:lang w:val="pl-PL"/>
        </w:rPr>
        <w:t>(Skarga nr 22251/08)</w:t>
      </w:r>
    </w:p>
    <w:p w:rsidR="001C1275" w:rsidRPr="007735BD" w:rsidRDefault="001C1275" w:rsidP="00452CEA">
      <w:pPr>
        <w:jc w:val="center"/>
        <w:rPr>
          <w:lang w:val="pl-PL"/>
        </w:rPr>
      </w:pPr>
    </w:p>
    <w:p w:rsidR="001C1275" w:rsidRPr="007735BD" w:rsidRDefault="001C1275" w:rsidP="00452CEA">
      <w:pPr>
        <w:jc w:val="center"/>
        <w:rPr>
          <w:lang w:val="pl-PL"/>
        </w:rPr>
      </w:pPr>
    </w:p>
    <w:p w:rsidR="001C1275" w:rsidRPr="007735BD" w:rsidRDefault="001C1275" w:rsidP="00452CEA">
      <w:pPr>
        <w:jc w:val="center"/>
        <w:rPr>
          <w:lang w:val="pl-PL"/>
        </w:rPr>
      </w:pPr>
    </w:p>
    <w:p w:rsidR="001C1275" w:rsidRPr="007735BD" w:rsidRDefault="001C1275" w:rsidP="00452CEA">
      <w:pPr>
        <w:jc w:val="center"/>
        <w:rPr>
          <w:lang w:val="pl-PL"/>
        </w:rPr>
      </w:pPr>
    </w:p>
    <w:p w:rsidR="001C1275" w:rsidRPr="007735BD" w:rsidRDefault="001C1275" w:rsidP="007735BD">
      <w:pPr>
        <w:rPr>
          <w:lang w:val="pl-PL"/>
        </w:rPr>
      </w:pPr>
    </w:p>
    <w:p w:rsidR="001C1275" w:rsidRPr="007735BD" w:rsidRDefault="001C1275" w:rsidP="007735BD">
      <w:pPr>
        <w:rPr>
          <w:lang w:val="pl-PL"/>
        </w:rPr>
      </w:pPr>
    </w:p>
    <w:p w:rsidR="001C1275" w:rsidRPr="007735BD" w:rsidRDefault="001C1275" w:rsidP="00452CEA">
      <w:pPr>
        <w:jc w:val="center"/>
        <w:rPr>
          <w:lang w:val="pl-PL"/>
        </w:rPr>
      </w:pPr>
    </w:p>
    <w:p w:rsidR="001C1275" w:rsidRPr="007735BD" w:rsidRDefault="001C1275" w:rsidP="00452CEA">
      <w:pPr>
        <w:jc w:val="center"/>
        <w:rPr>
          <w:lang w:val="pl-PL"/>
        </w:rPr>
      </w:pPr>
      <w:r w:rsidRPr="007735BD">
        <w:rPr>
          <w:lang w:val="pl-PL"/>
        </w:rPr>
        <w:t>WYROK</w:t>
      </w:r>
    </w:p>
    <w:p w:rsidR="001C1275" w:rsidRPr="007735BD" w:rsidRDefault="001C1275" w:rsidP="00452CEA">
      <w:pPr>
        <w:jc w:val="center"/>
        <w:rPr>
          <w:highlight w:val="yellow"/>
          <w:lang w:val="pl-PL"/>
        </w:rPr>
      </w:pPr>
    </w:p>
    <w:p w:rsidR="001C1275" w:rsidRPr="007735BD" w:rsidRDefault="001C1275" w:rsidP="00452CEA">
      <w:pPr>
        <w:jc w:val="center"/>
        <w:rPr>
          <w:i/>
          <w:iCs/>
          <w:sz w:val="22"/>
          <w:szCs w:val="22"/>
          <w:lang w:val="pl-PL"/>
        </w:rPr>
      </w:pPr>
      <w:r w:rsidRPr="007735BD">
        <w:rPr>
          <w:i/>
          <w:iCs/>
          <w:sz w:val="22"/>
          <w:szCs w:val="22"/>
          <w:lang w:val="pl-PL"/>
        </w:rPr>
        <w:t>Niniejsz</w:t>
      </w:r>
      <w:r>
        <w:rPr>
          <w:i/>
          <w:iCs/>
          <w:sz w:val="22"/>
          <w:szCs w:val="22"/>
          <w:lang w:val="pl-PL"/>
        </w:rPr>
        <w:t>a wersja została rektyfikowana 11 m</w:t>
      </w:r>
      <w:r w:rsidRPr="007735BD">
        <w:rPr>
          <w:i/>
          <w:iCs/>
          <w:sz w:val="22"/>
          <w:szCs w:val="22"/>
          <w:lang w:val="pl-PL"/>
        </w:rPr>
        <w:t>ar</w:t>
      </w:r>
      <w:r>
        <w:rPr>
          <w:i/>
          <w:iCs/>
          <w:sz w:val="22"/>
          <w:szCs w:val="22"/>
          <w:lang w:val="pl-PL"/>
        </w:rPr>
        <w:t>ca</w:t>
      </w:r>
      <w:r w:rsidRPr="007735BD">
        <w:rPr>
          <w:i/>
          <w:iCs/>
          <w:sz w:val="22"/>
          <w:szCs w:val="22"/>
          <w:lang w:val="pl-PL"/>
        </w:rPr>
        <w:t xml:space="preserve"> 2015</w:t>
      </w:r>
      <w:r>
        <w:rPr>
          <w:i/>
          <w:iCs/>
          <w:sz w:val="22"/>
          <w:szCs w:val="22"/>
          <w:lang w:val="pl-PL"/>
        </w:rPr>
        <w:t xml:space="preserve"> r.</w:t>
      </w:r>
    </w:p>
    <w:p w:rsidR="001C1275" w:rsidRPr="007735BD" w:rsidRDefault="001C1275" w:rsidP="00452CEA">
      <w:pPr>
        <w:jc w:val="center"/>
        <w:rPr>
          <w:i/>
          <w:iCs/>
          <w:sz w:val="22"/>
          <w:szCs w:val="22"/>
          <w:lang w:val="pl-PL"/>
        </w:rPr>
      </w:pPr>
      <w:r w:rsidRPr="007735BD">
        <w:rPr>
          <w:i/>
          <w:iCs/>
          <w:sz w:val="22"/>
          <w:szCs w:val="22"/>
          <w:lang w:val="pl-PL"/>
        </w:rPr>
        <w:t>na podstawie art. 81Regulaminu Trybunału</w:t>
      </w:r>
    </w:p>
    <w:p w:rsidR="001C1275" w:rsidRPr="007735BD" w:rsidRDefault="001C1275" w:rsidP="00452CEA">
      <w:pPr>
        <w:jc w:val="center"/>
        <w:rPr>
          <w:lang w:val="pl-PL"/>
        </w:rPr>
      </w:pPr>
    </w:p>
    <w:p w:rsidR="001C1275" w:rsidRPr="007735BD" w:rsidRDefault="001C1275" w:rsidP="00452CEA">
      <w:pPr>
        <w:jc w:val="center"/>
        <w:rPr>
          <w:lang w:val="pl-PL"/>
        </w:rPr>
      </w:pPr>
    </w:p>
    <w:p w:rsidR="001C1275" w:rsidRPr="00C733AF" w:rsidRDefault="001C1275" w:rsidP="00452CEA">
      <w:pPr>
        <w:jc w:val="center"/>
        <w:rPr>
          <w:lang w:val="pl-PL"/>
        </w:rPr>
      </w:pPr>
      <w:r>
        <w:rPr>
          <w:lang w:val="pl-PL"/>
        </w:rPr>
        <w:t>STRASB</w:t>
      </w:r>
      <w:r w:rsidRPr="00C733AF">
        <w:rPr>
          <w:lang w:val="pl-PL"/>
        </w:rPr>
        <w:t>URG</w:t>
      </w:r>
    </w:p>
    <w:p w:rsidR="001C1275" w:rsidRPr="00C733AF" w:rsidRDefault="001C1275" w:rsidP="00452CEA">
      <w:pPr>
        <w:jc w:val="center"/>
        <w:rPr>
          <w:lang w:val="pl-PL"/>
        </w:rPr>
      </w:pPr>
    </w:p>
    <w:p w:rsidR="001C1275" w:rsidRPr="00C733AF" w:rsidRDefault="001C1275" w:rsidP="00452CEA">
      <w:pPr>
        <w:jc w:val="center"/>
        <w:rPr>
          <w:lang w:val="pl-PL"/>
        </w:rPr>
      </w:pPr>
    </w:p>
    <w:p w:rsidR="001C1275" w:rsidRPr="007735BD" w:rsidRDefault="001C1275" w:rsidP="007735BD">
      <w:pPr>
        <w:jc w:val="center"/>
        <w:rPr>
          <w:lang w:val="pl-PL"/>
        </w:rPr>
      </w:pPr>
      <w:r w:rsidRPr="007735BD">
        <w:rPr>
          <w:lang w:val="pl-PL"/>
        </w:rPr>
        <w:t>5 lutego 2015</w:t>
      </w:r>
      <w:r>
        <w:rPr>
          <w:lang w:val="pl-PL"/>
        </w:rPr>
        <w:t xml:space="preserve"> r.</w:t>
      </w:r>
    </w:p>
    <w:p w:rsidR="001C1275" w:rsidRPr="007735BD" w:rsidRDefault="001C1275" w:rsidP="00452CEA">
      <w:pPr>
        <w:jc w:val="center"/>
        <w:rPr>
          <w:lang w:val="pl-PL"/>
        </w:rPr>
      </w:pPr>
    </w:p>
    <w:p w:rsidR="001C1275" w:rsidRPr="007735BD" w:rsidRDefault="001C1275" w:rsidP="00452CEA">
      <w:pPr>
        <w:jc w:val="center"/>
        <w:rPr>
          <w:lang w:val="pl-PL"/>
        </w:rPr>
      </w:pPr>
    </w:p>
    <w:p w:rsidR="001C1275" w:rsidRPr="007735BD" w:rsidRDefault="001C1275" w:rsidP="007735BD">
      <w:pPr>
        <w:jc w:val="center"/>
        <w:rPr>
          <w:lang w:val="pl-PL"/>
        </w:rPr>
      </w:pPr>
      <w:r w:rsidRPr="00035BB8">
        <w:rPr>
          <w:i/>
          <w:iCs/>
          <w:lang w:val="pl-PL"/>
        </w:rPr>
        <w:t>Niniejszy wyrok jest ostateczny, ale może podlegać korekcie wydawniczej.</w:t>
      </w:r>
    </w:p>
    <w:p w:rsidR="001C1275" w:rsidRPr="007735BD" w:rsidRDefault="001C1275" w:rsidP="00D5454C">
      <w:pPr>
        <w:jc w:val="center"/>
        <w:rPr>
          <w:lang w:val="pl-PL"/>
        </w:rPr>
        <w:sectPr w:rsidR="001C1275" w:rsidRPr="007735BD" w:rsidSect="00E3356A">
          <w:headerReference w:type="default" r:id="rId7"/>
          <w:footerReference w:type="default" r:id="rId8"/>
          <w:headerReference w:type="first" r:id="rId9"/>
          <w:footerReference w:type="first" r:id="rId10"/>
          <w:footnotePr>
            <w:numRestart w:val="eachPage"/>
          </w:footnotePr>
          <w:pgSz w:w="11906" w:h="16838" w:code="9"/>
          <w:pgMar w:top="2274" w:right="1440" w:bottom="2274" w:left="1440" w:header="1701" w:footer="708" w:gutter="0"/>
          <w:pgNumType w:start="1"/>
          <w:cols w:space="708"/>
          <w:titlePg/>
          <w:docGrid w:linePitch="326"/>
        </w:sectPr>
      </w:pPr>
    </w:p>
    <w:p w:rsidR="001C1275" w:rsidRPr="00A56FFB" w:rsidRDefault="001C1275" w:rsidP="00D60D87">
      <w:pPr>
        <w:pStyle w:val="JuCase"/>
        <w:rPr>
          <w:lang w:val="pl-PL"/>
        </w:rPr>
      </w:pPr>
      <w:r w:rsidRPr="00C733AF">
        <w:rPr>
          <w:rStyle w:val="s7d2086b4"/>
          <w:lang w:val="pl-PL"/>
        </w:rPr>
        <w:t>W sprawie Bochan przeciwko Ukrainie (nr 2),</w:t>
      </w:r>
    </w:p>
    <w:p w:rsidR="001C1275" w:rsidRPr="00A56FFB" w:rsidRDefault="001C1275" w:rsidP="005E2A43">
      <w:pPr>
        <w:pStyle w:val="ECHRPara"/>
      </w:pPr>
      <w:r>
        <w:rPr>
          <w:rStyle w:val="sb8d990e2"/>
        </w:rPr>
        <w:t>Europejski Trybunał Praw Człowieka (Wielka Izba), zasiadając jako Wielka Izba w składzie</w:t>
      </w:r>
      <w:r w:rsidRPr="00A56FFB">
        <w:t>:</w:t>
      </w:r>
    </w:p>
    <w:p w:rsidR="001C1275" w:rsidRPr="00FC78D5" w:rsidRDefault="001C1275" w:rsidP="00DF0549">
      <w:pPr>
        <w:pStyle w:val="ECHRDecisionBody"/>
        <w:rPr>
          <w:lang w:val="pl-PL"/>
        </w:rPr>
      </w:pPr>
      <w:r w:rsidRPr="00A56FFB">
        <w:rPr>
          <w:lang w:val="pl-PL"/>
        </w:rPr>
        <w:tab/>
      </w:r>
      <w:r w:rsidRPr="00FC78D5">
        <w:rPr>
          <w:lang w:val="pl-PL"/>
        </w:rPr>
        <w:t>Dean Spielmann,</w:t>
      </w:r>
      <w:r w:rsidRPr="00FC78D5">
        <w:rPr>
          <w:i/>
          <w:iCs/>
          <w:lang w:val="pl-PL"/>
        </w:rPr>
        <w:t xml:space="preserve"> Pr</w:t>
      </w:r>
      <w:r>
        <w:rPr>
          <w:i/>
          <w:iCs/>
          <w:lang w:val="pl-PL"/>
        </w:rPr>
        <w:t>zewodniczący</w:t>
      </w:r>
      <w:r w:rsidRPr="00FC78D5">
        <w:rPr>
          <w:i/>
          <w:iCs/>
          <w:lang w:val="pl-PL"/>
        </w:rPr>
        <w:t>,</w:t>
      </w:r>
      <w:r w:rsidRPr="00FC78D5">
        <w:rPr>
          <w:i/>
          <w:iCs/>
          <w:lang w:val="pl-PL"/>
        </w:rPr>
        <w:br/>
      </w:r>
      <w:r w:rsidRPr="00FC78D5">
        <w:rPr>
          <w:lang w:val="pl-PL"/>
        </w:rPr>
        <w:tab/>
        <w:t>Josep Casadevall,</w:t>
      </w:r>
      <w:r w:rsidRPr="00FC78D5">
        <w:rPr>
          <w:i/>
          <w:iCs/>
          <w:lang w:val="pl-PL"/>
        </w:rPr>
        <w:br/>
      </w:r>
      <w:r w:rsidRPr="00FC78D5">
        <w:rPr>
          <w:lang w:val="pl-PL"/>
        </w:rPr>
        <w:tab/>
        <w:t>Guido Raimondi,</w:t>
      </w:r>
      <w:r w:rsidRPr="00FC78D5">
        <w:rPr>
          <w:i/>
          <w:iCs/>
          <w:lang w:val="pl-PL"/>
        </w:rPr>
        <w:br/>
      </w:r>
      <w:r w:rsidRPr="00FC78D5">
        <w:rPr>
          <w:lang w:val="pl-PL"/>
        </w:rPr>
        <w:tab/>
        <w:t>Ineta Ziemele,</w:t>
      </w:r>
      <w:r w:rsidRPr="00FC78D5">
        <w:rPr>
          <w:i/>
          <w:iCs/>
          <w:lang w:val="pl-PL"/>
        </w:rPr>
        <w:br/>
      </w:r>
      <w:r w:rsidRPr="00FC78D5">
        <w:rPr>
          <w:lang w:val="pl-PL"/>
        </w:rPr>
        <w:tab/>
        <w:t>Mark Villiger,</w:t>
      </w:r>
      <w:r w:rsidRPr="00FC78D5">
        <w:rPr>
          <w:i/>
          <w:iCs/>
          <w:lang w:val="pl-PL"/>
        </w:rPr>
        <w:br/>
      </w:r>
      <w:r w:rsidRPr="00FC78D5">
        <w:rPr>
          <w:lang w:val="pl-PL"/>
        </w:rPr>
        <w:tab/>
        <w:t>Isabelle Berro,</w:t>
      </w:r>
      <w:r w:rsidRPr="00FC78D5">
        <w:rPr>
          <w:i/>
          <w:iCs/>
          <w:lang w:val="pl-PL"/>
        </w:rPr>
        <w:br/>
      </w:r>
      <w:r w:rsidRPr="00FC78D5">
        <w:rPr>
          <w:lang w:val="pl-PL"/>
        </w:rPr>
        <w:tab/>
        <w:t>Boštjan M. Zupančič,</w:t>
      </w:r>
      <w:r w:rsidRPr="00FC78D5">
        <w:rPr>
          <w:i/>
          <w:iCs/>
          <w:lang w:val="pl-PL"/>
        </w:rPr>
        <w:br/>
      </w:r>
      <w:r w:rsidRPr="00FC78D5">
        <w:rPr>
          <w:lang w:val="pl-PL"/>
        </w:rPr>
        <w:tab/>
        <w:t>Alvina Gyulumyan,</w:t>
      </w:r>
      <w:r w:rsidRPr="00FC78D5">
        <w:rPr>
          <w:i/>
          <w:iCs/>
          <w:lang w:val="pl-PL"/>
        </w:rPr>
        <w:br/>
      </w:r>
      <w:r w:rsidRPr="00FC78D5">
        <w:rPr>
          <w:lang w:val="pl-PL"/>
        </w:rPr>
        <w:tab/>
        <w:t>Ganna Yudkivska,</w:t>
      </w:r>
      <w:r w:rsidRPr="00FC78D5">
        <w:rPr>
          <w:i/>
          <w:iCs/>
          <w:lang w:val="pl-PL"/>
        </w:rPr>
        <w:br/>
      </w:r>
      <w:r w:rsidRPr="00FC78D5">
        <w:rPr>
          <w:lang w:val="pl-PL"/>
        </w:rPr>
        <w:tab/>
        <w:t>Angelika Nußberger,</w:t>
      </w:r>
      <w:r w:rsidRPr="00FC78D5">
        <w:rPr>
          <w:i/>
          <w:iCs/>
          <w:lang w:val="pl-PL"/>
        </w:rPr>
        <w:br/>
      </w:r>
      <w:r w:rsidRPr="00FC78D5">
        <w:rPr>
          <w:lang w:val="pl-PL"/>
        </w:rPr>
        <w:tab/>
        <w:t>Erik Møse,</w:t>
      </w:r>
      <w:r w:rsidRPr="00FC78D5">
        <w:rPr>
          <w:i/>
          <w:iCs/>
          <w:lang w:val="pl-PL"/>
        </w:rPr>
        <w:br/>
      </w:r>
      <w:r w:rsidRPr="00FC78D5">
        <w:rPr>
          <w:lang w:val="pl-PL"/>
        </w:rPr>
        <w:tab/>
        <w:t>André Potocki,</w:t>
      </w:r>
      <w:r w:rsidRPr="00FC78D5">
        <w:rPr>
          <w:i/>
          <w:iCs/>
          <w:lang w:val="pl-PL"/>
        </w:rPr>
        <w:br/>
      </w:r>
      <w:r w:rsidRPr="00FC78D5">
        <w:rPr>
          <w:lang w:val="pl-PL"/>
        </w:rPr>
        <w:tab/>
        <w:t>Paul Lemmens,</w:t>
      </w:r>
      <w:r w:rsidRPr="00FC78D5">
        <w:rPr>
          <w:i/>
          <w:iCs/>
          <w:lang w:val="pl-PL"/>
        </w:rPr>
        <w:br/>
      </w:r>
      <w:r w:rsidRPr="00FC78D5">
        <w:rPr>
          <w:lang w:val="pl-PL"/>
        </w:rPr>
        <w:tab/>
        <w:t>Paul Mahoney,</w:t>
      </w:r>
      <w:r w:rsidRPr="00FC78D5">
        <w:rPr>
          <w:i/>
          <w:iCs/>
          <w:lang w:val="pl-PL"/>
        </w:rPr>
        <w:br/>
      </w:r>
      <w:r w:rsidRPr="00FC78D5">
        <w:rPr>
          <w:lang w:val="pl-PL"/>
        </w:rPr>
        <w:tab/>
        <w:t>Aleš Pejchal,</w:t>
      </w:r>
      <w:r w:rsidRPr="00FC78D5">
        <w:rPr>
          <w:i/>
          <w:iCs/>
          <w:lang w:val="pl-PL"/>
        </w:rPr>
        <w:br/>
      </w:r>
      <w:r w:rsidRPr="00FC78D5">
        <w:rPr>
          <w:lang w:val="pl-PL"/>
        </w:rPr>
        <w:tab/>
        <w:t>Krzysztof Wojtyczek,</w:t>
      </w:r>
      <w:r w:rsidRPr="00FC78D5">
        <w:rPr>
          <w:i/>
          <w:iCs/>
          <w:lang w:val="pl-PL"/>
        </w:rPr>
        <w:br/>
      </w:r>
      <w:r w:rsidRPr="00FC78D5">
        <w:rPr>
          <w:lang w:val="pl-PL"/>
        </w:rPr>
        <w:tab/>
        <w:t>Dmitry Dedov,</w:t>
      </w:r>
      <w:r w:rsidRPr="00FC78D5">
        <w:rPr>
          <w:i/>
          <w:iCs/>
          <w:lang w:val="pl-PL"/>
        </w:rPr>
        <w:t xml:space="preserve"> sędziowie,</w:t>
      </w:r>
      <w:r w:rsidRPr="00FC78D5">
        <w:rPr>
          <w:i/>
          <w:iCs/>
          <w:lang w:val="pl-PL"/>
        </w:rPr>
        <w:br/>
      </w:r>
      <w:r>
        <w:rPr>
          <w:lang w:val="pl-PL"/>
        </w:rPr>
        <w:t>oraz</w:t>
      </w:r>
      <w:r w:rsidRPr="00FC78D5">
        <w:rPr>
          <w:lang w:val="pl-PL"/>
        </w:rPr>
        <w:t xml:space="preserve"> Lawrence Early, </w:t>
      </w:r>
      <w:r w:rsidRPr="00FF44F5">
        <w:rPr>
          <w:i/>
          <w:iCs/>
          <w:lang w:val="pl-PL"/>
        </w:rPr>
        <w:t>Doradca prawny</w:t>
      </w:r>
      <w:r w:rsidRPr="00FC78D5">
        <w:rPr>
          <w:i/>
          <w:iCs/>
          <w:lang w:val="pl-PL"/>
        </w:rPr>
        <w:t>,</w:t>
      </w:r>
    </w:p>
    <w:p w:rsidR="001C1275" w:rsidRDefault="001C1275" w:rsidP="00C621C2">
      <w:pPr>
        <w:pStyle w:val="ECHRPara"/>
      </w:pPr>
      <w:r w:rsidRPr="00FF44F5">
        <w:t xml:space="preserve">obradując na posiedzeniu niejawnym w dniach 13 listopada 2013 r. i 2 lipca 2014 r., </w:t>
      </w:r>
    </w:p>
    <w:p w:rsidR="001C1275" w:rsidRPr="009B3EC0" w:rsidRDefault="001C1275" w:rsidP="00C621C2">
      <w:pPr>
        <w:pStyle w:val="ECHRPara"/>
      </w:pPr>
      <w:r w:rsidRPr="00FF44F5">
        <w:t>wydaje następujący wyrok, który został przyj</w:t>
      </w:r>
      <w:r>
        <w:t>ęty w drugiej wymienionej dacie</w:t>
      </w:r>
      <w:r w:rsidRPr="009B3EC0">
        <w:t>:</w:t>
      </w:r>
    </w:p>
    <w:p w:rsidR="001C1275" w:rsidRPr="005B6FAC" w:rsidRDefault="001C1275" w:rsidP="00014566">
      <w:pPr>
        <w:pStyle w:val="ECHRTitle1"/>
        <w:rPr>
          <w:lang w:val="pl-PL"/>
        </w:rPr>
      </w:pPr>
      <w:r w:rsidRPr="005B6FAC">
        <w:rPr>
          <w:lang w:val="pl-PL"/>
        </w:rPr>
        <w:t>POSTĘPOWANIE</w:t>
      </w:r>
    </w:p>
    <w:p w:rsidR="001C1275" w:rsidRPr="005B6FAC" w:rsidRDefault="001C1275" w:rsidP="00C621C2">
      <w:pPr>
        <w:pStyle w:val="ECHRPara"/>
      </w:pPr>
      <w:fldSimple w:instr=" SEQ level0 \*arabic ">
        <w:r w:rsidRPr="005B6FAC">
          <w:rPr>
            <w:noProof/>
          </w:rPr>
          <w:t>1</w:t>
        </w:r>
      </w:fldSimple>
      <w:r w:rsidRPr="005B6FAC">
        <w:t>.  </w:t>
      </w:r>
      <w:r>
        <w:rPr>
          <w:rStyle w:val="sb8d990e2"/>
        </w:rPr>
        <w:t xml:space="preserve">Sprawę wszczęto skargą (nr </w:t>
      </w:r>
      <w:r w:rsidRPr="005E2BCA">
        <w:t>22251/08</w:t>
      </w:r>
      <w:r>
        <w:rPr>
          <w:rStyle w:val="sb8d990e2"/>
        </w:rPr>
        <w:t>) wniesioną do Trybunału dnia 7 kwietnia 2008 r. przeciwko Ukrainie na mocy art. 34 Konwencji o ochronie praw człowieka i podstawowych wolności („Konwencja”) przez obywatelkę Ukrainy, panią Mariyę Ivanivnę Bochan („skarżąca”).</w:t>
      </w:r>
    </w:p>
    <w:p w:rsidR="001C1275" w:rsidRPr="00403DCF" w:rsidRDefault="001C1275" w:rsidP="00C621C2">
      <w:pPr>
        <w:pStyle w:val="ECHRPara"/>
      </w:pPr>
      <w:fldSimple w:instr=" SEQ level0 \*arabic ">
        <w:r w:rsidRPr="00C733AF">
          <w:rPr>
            <w:noProof/>
          </w:rPr>
          <w:t>2</w:t>
        </w:r>
      </w:fldSimple>
      <w:r w:rsidRPr="00C733AF">
        <w:t>.  </w:t>
      </w:r>
      <w:r>
        <w:rPr>
          <w:rStyle w:val="sb8d990e2"/>
        </w:rPr>
        <w:t>Skarżącą reprezentował jej syn, pan I. Bochan, prawnik prowadzący praktykę w Tarnopolu. Rząd Ukrainy („Rząd”) reprezentowała jego Pełnomocnik, pani N. Sevostyanova, z Ministerstwa Sprawiedliwości.</w:t>
      </w:r>
    </w:p>
    <w:p w:rsidR="001C1275" w:rsidRPr="00403DCF" w:rsidRDefault="001C1275" w:rsidP="00C621C2">
      <w:pPr>
        <w:pStyle w:val="ECHRPara"/>
      </w:pPr>
      <w:fldSimple w:instr=" SEQ level0 \*arabic ">
        <w:r w:rsidRPr="00C733AF">
          <w:rPr>
            <w:noProof/>
          </w:rPr>
          <w:t>3</w:t>
        </w:r>
      </w:fldSimple>
      <w:r w:rsidRPr="00C733AF">
        <w:t>.  </w:t>
      </w:r>
      <w:r>
        <w:rPr>
          <w:rStyle w:val="sb8d990e2"/>
        </w:rPr>
        <w:t xml:space="preserve">Skarżąca, opierając się na art. 6 ust. 1 Konwencji oraz art. 1 Protokołu nr 1, skarżyła się na postępowanie dotyczące jej „odwołania w świetle wyjątkowych okoliczności”, wniesionego na podstawie wyroku Trybunału wydanego w poprzedniej sprawie dotyczącej skarżącej (patrz </w:t>
      </w:r>
      <w:r w:rsidRPr="00C83C4A">
        <w:rPr>
          <w:rStyle w:val="s6b621b36"/>
          <w:i/>
          <w:iCs/>
        </w:rPr>
        <w:t>Bochan przeciwko Ukrainie</w:t>
      </w:r>
      <w:r>
        <w:rPr>
          <w:rStyle w:val="sb8d990e2"/>
        </w:rPr>
        <w:t xml:space="preserve">, nr </w:t>
      </w:r>
      <w:r w:rsidRPr="005E2BCA">
        <w:t>7577/02</w:t>
      </w:r>
      <w:r>
        <w:rPr>
          <w:rStyle w:val="sb8d990e2"/>
        </w:rPr>
        <w:t>, 3 maja 2007 r.), przewidzianego przez mające zastosowanie przepisy prawa</w:t>
      </w:r>
      <w:r w:rsidRPr="006F72CC">
        <w:rPr>
          <w:rStyle w:val="sb8d990e2"/>
        </w:rPr>
        <w:t xml:space="preserve"> </w:t>
      </w:r>
      <w:r>
        <w:rPr>
          <w:rStyle w:val="sb8d990e2"/>
        </w:rPr>
        <w:t>ukraińskiego.</w:t>
      </w:r>
    </w:p>
    <w:p w:rsidR="001C1275" w:rsidRPr="00403DCF" w:rsidRDefault="001C1275" w:rsidP="00C264C5">
      <w:pPr>
        <w:pStyle w:val="ECHRPara"/>
      </w:pPr>
      <w:fldSimple w:instr=" SEQ level0 \*arabic ">
        <w:r w:rsidRPr="00C733AF">
          <w:rPr>
            <w:noProof/>
          </w:rPr>
          <w:t>4</w:t>
        </w:r>
      </w:fldSimple>
      <w:r w:rsidRPr="00C733AF">
        <w:t>.  </w:t>
      </w:r>
      <w:r>
        <w:rPr>
          <w:rStyle w:val="sb8d990e2"/>
        </w:rPr>
        <w:t>W dniu 6 września 2011 r. skarga została zakomunikowana Rządowi.</w:t>
      </w:r>
    </w:p>
    <w:p w:rsidR="001C1275" w:rsidRPr="00403DCF" w:rsidRDefault="001C1275" w:rsidP="00C264C5">
      <w:pPr>
        <w:pStyle w:val="ECHRPara"/>
        <w:rPr>
          <w:lang w:eastAsia="fr-FR"/>
        </w:rPr>
      </w:pPr>
      <w:r w:rsidRPr="00C733AF">
        <w:rPr>
          <w:lang w:eastAsia="fr-FR"/>
        </w:rPr>
        <w:fldChar w:fldCharType="begin"/>
      </w:r>
      <w:r w:rsidRPr="00C733AF">
        <w:rPr>
          <w:lang w:eastAsia="fr-FR"/>
        </w:rPr>
        <w:instrText xml:space="preserve"> SEQ level0 \*arabic </w:instrText>
      </w:r>
      <w:r w:rsidRPr="00C733AF">
        <w:rPr>
          <w:lang w:eastAsia="fr-FR"/>
        </w:rPr>
        <w:fldChar w:fldCharType="separate"/>
      </w:r>
      <w:r w:rsidRPr="00C733AF">
        <w:rPr>
          <w:noProof/>
          <w:lang w:eastAsia="fr-FR"/>
        </w:rPr>
        <w:t>5</w:t>
      </w:r>
      <w:r w:rsidRPr="00C733AF">
        <w:rPr>
          <w:lang w:eastAsia="fr-FR"/>
        </w:rPr>
        <w:fldChar w:fldCharType="end"/>
      </w:r>
      <w:r w:rsidRPr="00C733AF">
        <w:rPr>
          <w:lang w:eastAsia="fr-FR"/>
        </w:rPr>
        <w:t>.  </w:t>
      </w:r>
      <w:r>
        <w:rPr>
          <w:rStyle w:val="sb8d990e2"/>
        </w:rPr>
        <w:t>W dniu 19 listopada 2013 r. Izba Piątej Sekcji, w skład której weszli Mark Villiger, Przewodniczący, Angelika Nußberger, Boštjan M. Zupančič, Ganna Yudkivska, André Potocki, Paul Lemmens, Aleš Pejchal, sędziowie, a ponadto Claudia Westerdiek, Kanclerz Sekcji, zrzekła się właściwości na rzecz Wielkiej</w:t>
      </w:r>
      <w:r w:rsidRPr="00E27513">
        <w:rPr>
          <w:rStyle w:val="sb8d990e2"/>
        </w:rPr>
        <w:t xml:space="preserve"> </w:t>
      </w:r>
      <w:r>
        <w:rPr>
          <w:rStyle w:val="sb8d990e2"/>
        </w:rPr>
        <w:t>Izby, czemu nie sprzeciwiła się żadna ze stron (art. 30 Konwencji oraz art. 72 Regulaminu Trybunału).</w:t>
      </w:r>
    </w:p>
    <w:p w:rsidR="001C1275" w:rsidRPr="00403DCF" w:rsidRDefault="001C1275" w:rsidP="00C264C5">
      <w:pPr>
        <w:pStyle w:val="ECHRPara"/>
        <w:rPr>
          <w:lang w:eastAsia="fr-FR"/>
        </w:rPr>
      </w:pPr>
      <w:r w:rsidRPr="00C733AF">
        <w:rPr>
          <w:lang w:eastAsia="fr-FR"/>
        </w:rPr>
        <w:fldChar w:fldCharType="begin"/>
      </w:r>
      <w:r w:rsidRPr="00C733AF">
        <w:rPr>
          <w:lang w:eastAsia="fr-FR"/>
        </w:rPr>
        <w:instrText xml:space="preserve"> SEQ level0 \*arabic </w:instrText>
      </w:r>
      <w:r w:rsidRPr="00C733AF">
        <w:rPr>
          <w:lang w:eastAsia="fr-FR"/>
        </w:rPr>
        <w:fldChar w:fldCharType="separate"/>
      </w:r>
      <w:r w:rsidRPr="00C733AF">
        <w:rPr>
          <w:noProof/>
          <w:lang w:eastAsia="fr-FR"/>
        </w:rPr>
        <w:t>6</w:t>
      </w:r>
      <w:r w:rsidRPr="00C733AF">
        <w:rPr>
          <w:lang w:eastAsia="fr-FR"/>
        </w:rPr>
        <w:fldChar w:fldCharType="end"/>
      </w:r>
      <w:r w:rsidRPr="00C733AF">
        <w:rPr>
          <w:lang w:eastAsia="fr-FR"/>
        </w:rPr>
        <w:t>.  </w:t>
      </w:r>
      <w:r>
        <w:rPr>
          <w:rStyle w:val="sb8d990e2"/>
        </w:rPr>
        <w:t>Skład Wielkiej Izby został ustalony zgodnie z art. 26 ust. 4 i 5 Konwencji oraz art. 24 Regulaminu Trybunału.</w:t>
      </w:r>
    </w:p>
    <w:p w:rsidR="001C1275" w:rsidRPr="00335B77" w:rsidRDefault="001C1275" w:rsidP="00C264C5">
      <w:pPr>
        <w:pStyle w:val="ECHRPara"/>
        <w:rPr>
          <w:lang w:eastAsia="fr-FR"/>
        </w:rPr>
      </w:pPr>
      <w:r w:rsidRPr="00C733AF">
        <w:rPr>
          <w:lang w:eastAsia="fr-FR"/>
        </w:rPr>
        <w:fldChar w:fldCharType="begin"/>
      </w:r>
      <w:r w:rsidRPr="00C733AF">
        <w:rPr>
          <w:lang w:eastAsia="fr-FR"/>
        </w:rPr>
        <w:instrText xml:space="preserve"> SEQ level0 \*arabic </w:instrText>
      </w:r>
      <w:r w:rsidRPr="00C733AF">
        <w:rPr>
          <w:lang w:eastAsia="fr-FR"/>
        </w:rPr>
        <w:fldChar w:fldCharType="separate"/>
      </w:r>
      <w:r w:rsidRPr="00C733AF">
        <w:rPr>
          <w:noProof/>
          <w:lang w:eastAsia="fr-FR"/>
        </w:rPr>
        <w:t>7</w:t>
      </w:r>
      <w:r w:rsidRPr="00C733AF">
        <w:rPr>
          <w:lang w:eastAsia="fr-FR"/>
        </w:rPr>
        <w:fldChar w:fldCharType="end"/>
      </w:r>
      <w:r w:rsidRPr="00C733AF">
        <w:rPr>
          <w:lang w:eastAsia="fr-FR"/>
        </w:rPr>
        <w:t>.  </w:t>
      </w:r>
      <w:r>
        <w:rPr>
          <w:rStyle w:val="sb8d990e2"/>
        </w:rPr>
        <w:t>Następnie skarżąca i Rząd przedłożyli pisemne uwagi. W dniu 17 marca 2014 r., po konsultacji ze stronami, Przewodniczący Wielkiej Izby postanowił nie przeprowadzać rozprawy.</w:t>
      </w:r>
    </w:p>
    <w:p w:rsidR="001C1275" w:rsidRPr="00C733AF" w:rsidRDefault="001C1275" w:rsidP="00294C92">
      <w:pPr>
        <w:pStyle w:val="ECHRTitle1"/>
        <w:rPr>
          <w:lang w:val="pl-PL"/>
        </w:rPr>
      </w:pPr>
      <w:r w:rsidRPr="00C733AF">
        <w:rPr>
          <w:lang w:val="pl-PL"/>
        </w:rPr>
        <w:t>FAKTY</w:t>
      </w:r>
    </w:p>
    <w:p w:rsidR="001C1275" w:rsidRPr="00C733AF" w:rsidRDefault="001C1275" w:rsidP="00014566">
      <w:pPr>
        <w:pStyle w:val="ECHRHeading1"/>
        <w:rPr>
          <w:lang w:val="pl-PL"/>
        </w:rPr>
      </w:pPr>
      <w:r w:rsidRPr="00C733AF">
        <w:rPr>
          <w:lang w:val="pl-PL"/>
        </w:rPr>
        <w:t>I.  OKOLICZNOŚCI SPRAWY</w:t>
      </w:r>
    </w:p>
    <w:p w:rsidR="001C1275" w:rsidRPr="00BF31A3" w:rsidRDefault="001C1275" w:rsidP="00C264C5">
      <w:pPr>
        <w:pStyle w:val="ECHRPara"/>
      </w:pPr>
      <w:fldSimple w:instr=" SEQ level0 \*arabic ">
        <w:r w:rsidRPr="00C733AF">
          <w:rPr>
            <w:noProof/>
          </w:rPr>
          <w:t>8</w:t>
        </w:r>
      </w:fldSimple>
      <w:r w:rsidRPr="00C733AF">
        <w:t>.  </w:t>
      </w:r>
      <w:r>
        <w:rPr>
          <w:rStyle w:val="sb8d990e2"/>
        </w:rPr>
        <w:t>Skarżąca urodziła się w 1917 r. i mieszka w Tarnopolu.</w:t>
      </w:r>
    </w:p>
    <w:p w:rsidR="001C1275" w:rsidRPr="00BF31A3" w:rsidRDefault="001C1275" w:rsidP="00C264C5">
      <w:pPr>
        <w:pStyle w:val="ECHRPara"/>
        <w:rPr>
          <w:lang w:eastAsia="fr-FR"/>
        </w:rPr>
      </w:pPr>
      <w:r w:rsidRPr="00C733AF">
        <w:rPr>
          <w:lang w:eastAsia="fr-FR"/>
        </w:rPr>
        <w:fldChar w:fldCharType="begin"/>
      </w:r>
      <w:r w:rsidRPr="00C733AF">
        <w:rPr>
          <w:lang w:eastAsia="fr-FR"/>
        </w:rPr>
        <w:instrText xml:space="preserve"> SEQ level0 \*arabic </w:instrText>
      </w:r>
      <w:r w:rsidRPr="00C733AF">
        <w:rPr>
          <w:lang w:eastAsia="fr-FR"/>
        </w:rPr>
        <w:fldChar w:fldCharType="separate"/>
      </w:r>
      <w:r w:rsidRPr="00C733AF">
        <w:rPr>
          <w:noProof/>
          <w:lang w:eastAsia="fr-FR"/>
        </w:rPr>
        <w:t>9</w:t>
      </w:r>
      <w:r w:rsidRPr="00C733AF">
        <w:rPr>
          <w:lang w:eastAsia="fr-FR"/>
        </w:rPr>
        <w:fldChar w:fldCharType="end"/>
      </w:r>
      <w:r w:rsidRPr="00C733AF">
        <w:rPr>
          <w:lang w:eastAsia="fr-FR"/>
        </w:rPr>
        <w:t>.  </w:t>
      </w:r>
      <w:r>
        <w:rPr>
          <w:rStyle w:val="sb8d990e2"/>
        </w:rPr>
        <w:t>Okoliczności faktyczne sprawy przedstawione przez strony można podsumować w następujący sposób.</w:t>
      </w:r>
    </w:p>
    <w:p w:rsidR="001C1275" w:rsidRPr="00115A21" w:rsidRDefault="001C1275" w:rsidP="00904C9F">
      <w:pPr>
        <w:pStyle w:val="ECHRHeading2"/>
        <w:rPr>
          <w:lang w:val="pl-PL"/>
        </w:rPr>
      </w:pPr>
      <w:r w:rsidRPr="00115A21">
        <w:rPr>
          <w:lang w:val="pl-PL"/>
        </w:rPr>
        <w:t>A.  Kontekst faktyczny sprawy</w:t>
      </w:r>
    </w:p>
    <w:p w:rsidR="001C1275" w:rsidRPr="00115A21" w:rsidRDefault="001C1275" w:rsidP="00F74808">
      <w:pPr>
        <w:pStyle w:val="ECHRPara"/>
        <w:rPr>
          <w:rStyle w:val="sb8d990e2"/>
        </w:rPr>
      </w:pPr>
      <w:r w:rsidRPr="00C733AF">
        <w:rPr>
          <w:lang w:eastAsia="fr-FR"/>
        </w:rPr>
        <w:fldChar w:fldCharType="begin"/>
      </w:r>
      <w:r w:rsidRPr="00C733AF">
        <w:rPr>
          <w:lang w:eastAsia="fr-FR"/>
        </w:rPr>
        <w:instrText xml:space="preserve"> SEQ level0 \*arabic </w:instrText>
      </w:r>
      <w:r w:rsidRPr="00C733AF">
        <w:rPr>
          <w:lang w:eastAsia="fr-FR"/>
        </w:rPr>
        <w:fldChar w:fldCharType="separate"/>
      </w:r>
      <w:r w:rsidRPr="00C733AF">
        <w:rPr>
          <w:noProof/>
          <w:lang w:eastAsia="fr-FR"/>
        </w:rPr>
        <w:t>10</w:t>
      </w:r>
      <w:r w:rsidRPr="00C733AF">
        <w:rPr>
          <w:lang w:eastAsia="fr-FR"/>
        </w:rPr>
        <w:fldChar w:fldCharType="end"/>
      </w:r>
      <w:r w:rsidRPr="00C733AF">
        <w:rPr>
          <w:rStyle w:val="JuParaCar"/>
        </w:rPr>
        <w:t>.  </w:t>
      </w:r>
      <w:r>
        <w:rPr>
          <w:rStyle w:val="sb8d990e2"/>
        </w:rPr>
        <w:t>Od 1997 r. skarżąca dochodziła, jak dotąd bezskutecznie, prawa własności do części domu posiadanego w odnośnym czasie przez pana M., oraz do gruntu, na którym dom ten jest posadowiony. Jej skarga poparta jest następującymi argumentami: rzeczona część domu została zbudowana na koszt skarżącej oraz jej zmarłego męża; jej mąż zgodnie z prawem uzyskał prawo własności do nieruchomości, które ona następnie odziedziczyła; nieruchomość nie została sprzedana panu M. pomimo zawarcia przez niego przedwstępnej umowy z synem skarżącej w tym zakresie; ponadto umowa sprzedaży, na podstawie której p. M rościł sobie prawo do nieruchomości, została sfałszowana.</w:t>
      </w:r>
    </w:p>
    <w:p w:rsidR="001C1275" w:rsidRPr="00C733AF" w:rsidRDefault="001C1275" w:rsidP="00115A21">
      <w:pPr>
        <w:pStyle w:val="ECHRPara"/>
      </w:pPr>
      <w:r w:rsidRPr="00C733AF">
        <w:rPr>
          <w:lang w:eastAsia="fr-FR"/>
        </w:rPr>
        <w:fldChar w:fldCharType="begin"/>
      </w:r>
      <w:r w:rsidRPr="00C733AF">
        <w:rPr>
          <w:lang w:eastAsia="fr-FR"/>
        </w:rPr>
        <w:instrText xml:space="preserve"> SEQ level0 \*arabic </w:instrText>
      </w:r>
      <w:r w:rsidRPr="00C733AF">
        <w:rPr>
          <w:lang w:eastAsia="fr-FR"/>
        </w:rPr>
        <w:fldChar w:fldCharType="separate"/>
      </w:r>
      <w:r w:rsidRPr="00C733AF">
        <w:rPr>
          <w:noProof/>
          <w:lang w:eastAsia="fr-FR"/>
        </w:rPr>
        <w:t>11</w:t>
      </w:r>
      <w:r w:rsidRPr="00C733AF">
        <w:rPr>
          <w:lang w:eastAsia="fr-FR"/>
        </w:rPr>
        <w:fldChar w:fldCharType="end"/>
      </w:r>
      <w:r w:rsidRPr="00C733AF">
        <w:rPr>
          <w:lang w:eastAsia="fr-FR"/>
        </w:rPr>
        <w:t>.  </w:t>
      </w:r>
      <w:r>
        <w:rPr>
          <w:rStyle w:val="sb8d990e2"/>
        </w:rPr>
        <w:t>Roszczenie majątkowe skarżącej było wielokrotnie rozpatrywane przez sądy krajowe. W końcu, po przeniesieniu sprawy przez Sąd Najwyższy do sądów niższej instancji o odmiennej właściwości miejscowej, roszczenie skarżącej zostało oddalone. W oparciu o zeznania 17 świadków, z których jeden złożył je osobiście, oraz dokumenty przedłożone przez pana M., sądy na dwóch poziomach właściwości uznały, że p. M. zakupił fundamenty rzeczonej części domu od syna skarżącej w 1993 r., a następnie zbudował [tę cześć] na własny koszt. W związku z tym p. M. był zgodnie z prawem właścicielem tej części domu i miał prawo korzystać z gruntu, na którym została ona zbudowana. Ostateczną decyzję, podtrzymującą rozstrzygnięcia sądów niższej instancji, podjął Sąd Najwyższy 22 sierpnia 2002 r.</w:t>
      </w:r>
    </w:p>
    <w:p w:rsidR="001C1275" w:rsidRPr="001C1519" w:rsidRDefault="001C1275" w:rsidP="00C264C5">
      <w:pPr>
        <w:pStyle w:val="ECHRHeading2"/>
        <w:rPr>
          <w:lang w:val="pl-PL" w:eastAsia="fr-FR"/>
        </w:rPr>
      </w:pPr>
      <w:r w:rsidRPr="001C1519">
        <w:rPr>
          <w:lang w:val="pl-PL" w:eastAsia="fr-FR"/>
        </w:rPr>
        <w:t>B.  Wyrok Trybunału w pierwszej sprawie</w:t>
      </w:r>
    </w:p>
    <w:p w:rsidR="001C1275" w:rsidRPr="00F5224C" w:rsidRDefault="001C1275" w:rsidP="00C264C5">
      <w:pPr>
        <w:pStyle w:val="ECHRPara"/>
        <w:rPr>
          <w:lang w:eastAsia="fr-FR"/>
        </w:rPr>
      </w:pPr>
      <w:r w:rsidRPr="001C1519">
        <w:rPr>
          <w:lang w:eastAsia="fr-FR"/>
        </w:rPr>
        <w:fldChar w:fldCharType="begin"/>
      </w:r>
      <w:r w:rsidRPr="001C1519">
        <w:rPr>
          <w:lang w:eastAsia="fr-FR"/>
        </w:rPr>
        <w:instrText xml:space="preserve"> SEQ level0 \*arabic </w:instrText>
      </w:r>
      <w:r w:rsidRPr="001C1519">
        <w:rPr>
          <w:lang w:eastAsia="fr-FR"/>
        </w:rPr>
        <w:fldChar w:fldCharType="separate"/>
      </w:r>
      <w:r w:rsidRPr="001C1519">
        <w:rPr>
          <w:noProof/>
          <w:lang w:eastAsia="fr-FR"/>
        </w:rPr>
        <w:t>12</w:t>
      </w:r>
      <w:r w:rsidRPr="001C1519">
        <w:rPr>
          <w:lang w:eastAsia="fr-FR"/>
        </w:rPr>
        <w:fldChar w:fldCharType="end"/>
      </w:r>
      <w:r w:rsidRPr="001C1519">
        <w:rPr>
          <w:lang w:eastAsia="fr-FR"/>
        </w:rPr>
        <w:t>.  </w:t>
      </w:r>
      <w:r>
        <w:rPr>
          <w:rStyle w:val="sb8d990e2"/>
        </w:rPr>
        <w:t>W dniu 17 lipca 2001 r., skarżąca wniosła skargę do Trybunału, skarżąc się w szczególności na brak rzetelności postępowania sądów krajowych w sprawie jej roszczenia. Skarga dotyczyła również długości postępowania oraz - z uwagi na wynik tego postępowania – podnosiła zarzut naruszenia art. 1 Protokołu nr 1 Konwencji rozpatrywanego oddzielnie oraz w związku z art. 14 Konwencji.</w:t>
      </w:r>
    </w:p>
    <w:p w:rsidR="001C1275" w:rsidRPr="00C3666E" w:rsidRDefault="001C1275" w:rsidP="00C264C5">
      <w:pPr>
        <w:pStyle w:val="ECHRPara"/>
        <w:rPr>
          <w:lang w:eastAsia="fr-FR"/>
        </w:rPr>
      </w:pPr>
      <w:r w:rsidRPr="001C1519">
        <w:rPr>
          <w:lang w:eastAsia="fr-FR"/>
        </w:rPr>
        <w:fldChar w:fldCharType="begin"/>
      </w:r>
      <w:r w:rsidRPr="001C1519">
        <w:rPr>
          <w:lang w:eastAsia="fr-FR"/>
        </w:rPr>
        <w:instrText xml:space="preserve"> SEQ level0 \*arabic </w:instrText>
      </w:r>
      <w:r w:rsidRPr="001C1519">
        <w:rPr>
          <w:lang w:eastAsia="fr-FR"/>
        </w:rPr>
        <w:fldChar w:fldCharType="separate"/>
      </w:r>
      <w:r w:rsidRPr="001C1519">
        <w:rPr>
          <w:noProof/>
          <w:lang w:eastAsia="fr-FR"/>
        </w:rPr>
        <w:t>13</w:t>
      </w:r>
      <w:r w:rsidRPr="001C1519">
        <w:rPr>
          <w:lang w:eastAsia="fr-FR"/>
        </w:rPr>
        <w:fldChar w:fldCharType="end"/>
      </w:r>
      <w:r w:rsidRPr="001C1519">
        <w:rPr>
          <w:lang w:eastAsia="fr-FR"/>
        </w:rPr>
        <w:t>.  </w:t>
      </w:r>
      <w:r>
        <w:rPr>
          <w:rStyle w:val="sb8d990e2"/>
        </w:rPr>
        <w:t xml:space="preserve">W dniu 3 maja 2007 r. Trybunał wydał wyrok w tej sprawie, który z dniem 3 sierpnia 2007 r. stał się ostateczny. Trybunał stwierdził, że naruszono art. 6 ust. 1 Konwencji, zważywszy na okoliczności, w których sprawa </w:t>
      </w:r>
      <w:r w:rsidRPr="00C3666E">
        <w:rPr>
          <w:rStyle w:val="sb8d990e2"/>
        </w:rPr>
        <w:t xml:space="preserve">skarżącej została przeniesiona przez Sąd Najwyższy oraz na brak wystarczającego uzasadnienia decyzji sądów krajowych, biorąc pod uwagę wszystkie wymienione kwestie razem i w sposób kumulatywny (patrz </w:t>
      </w:r>
      <w:r w:rsidRPr="00C3666E">
        <w:rPr>
          <w:rStyle w:val="s6b621b36"/>
          <w:i/>
          <w:iCs/>
        </w:rPr>
        <w:t>Bochan</w:t>
      </w:r>
      <w:r w:rsidRPr="00C3666E">
        <w:rPr>
          <w:rStyle w:val="sb8d990e2"/>
        </w:rPr>
        <w:t xml:space="preserve">, </w:t>
      </w:r>
      <w:r w:rsidRPr="00C3666E">
        <w:rPr>
          <w:rStyle w:val="sb8d990e2"/>
          <w:i/>
          <w:iCs/>
        </w:rPr>
        <w:t>op. cit.</w:t>
      </w:r>
      <w:r w:rsidRPr="00C3666E">
        <w:rPr>
          <w:rStyle w:val="sb8d990e2"/>
        </w:rPr>
        <w:t xml:space="preserve"> § 85).</w:t>
      </w:r>
    </w:p>
    <w:p w:rsidR="001C1275" w:rsidRPr="00C3666E" w:rsidRDefault="001C1275" w:rsidP="00C264C5">
      <w:pPr>
        <w:pStyle w:val="ECHRPara"/>
        <w:rPr>
          <w:lang w:eastAsia="fr-FR"/>
        </w:rPr>
      </w:pPr>
      <w:r w:rsidRPr="00C3666E">
        <w:rPr>
          <w:lang w:eastAsia="fr-FR"/>
        </w:rPr>
        <w:fldChar w:fldCharType="begin"/>
      </w:r>
      <w:r w:rsidRPr="00C3666E">
        <w:rPr>
          <w:lang w:eastAsia="fr-FR"/>
        </w:rPr>
        <w:instrText xml:space="preserve"> SEQ level0 \*arabic </w:instrText>
      </w:r>
      <w:r w:rsidRPr="00C3666E">
        <w:rPr>
          <w:lang w:eastAsia="fr-FR"/>
        </w:rPr>
        <w:fldChar w:fldCharType="separate"/>
      </w:r>
      <w:r w:rsidRPr="00C3666E">
        <w:rPr>
          <w:noProof/>
          <w:lang w:eastAsia="fr-FR"/>
        </w:rPr>
        <w:t>14</w:t>
      </w:r>
      <w:r w:rsidRPr="00C3666E">
        <w:rPr>
          <w:lang w:eastAsia="fr-FR"/>
        </w:rPr>
        <w:fldChar w:fldCharType="end"/>
      </w:r>
      <w:r w:rsidRPr="00C3666E">
        <w:rPr>
          <w:lang w:eastAsia="fr-FR"/>
        </w:rPr>
        <w:t>.  </w:t>
      </w:r>
      <w:r w:rsidRPr="00C3666E">
        <w:rPr>
          <w:rStyle w:val="sb8d990e2"/>
        </w:rPr>
        <w:t>Trybunał przedstawił następujące uzasadnienie:</w:t>
      </w:r>
    </w:p>
    <w:p w:rsidR="001C1275" w:rsidRPr="00B05C38" w:rsidRDefault="001C1275" w:rsidP="00D91E8E">
      <w:pPr>
        <w:pStyle w:val="s9e9b0cd7"/>
        <w:ind w:left="550" w:firstLine="110"/>
        <w:jc w:val="both"/>
        <w:rPr>
          <w:sz w:val="20"/>
          <w:szCs w:val="20"/>
        </w:rPr>
      </w:pPr>
      <w:r w:rsidRPr="00C3666E">
        <w:rPr>
          <w:rStyle w:val="sfbbfee58"/>
          <w:sz w:val="20"/>
          <w:szCs w:val="20"/>
        </w:rPr>
        <w:t>„74. ... Przeniesienie [sprawy skarżącej] zostało zarządzone przez Sąd Najwyższy po tym, jak sąd ten w sposób wyraźny nie zgodził się z ustaleniami faktycznymi sądów niższej instancji oraz wskazał swoje stanowisko w odniesieniu do jednego z zasadniczych aspektów sprawy ... jeszcze przed dokonaniem nowej oceny faktów i przeprowadzeniem dowodów</w:t>
      </w:r>
      <w:bookmarkStart w:id="1" w:name="_GoBack"/>
      <w:bookmarkEnd w:id="1"/>
      <w:r w:rsidRPr="00B05C38">
        <w:rPr>
          <w:rStyle w:val="sfbbfee58"/>
          <w:sz w:val="20"/>
          <w:szCs w:val="20"/>
        </w:rPr>
        <w:t xml:space="preserve"> przez sądy niższej instancji ... Uwzględniając dodatkowo fakt, że Sąd Najwyższy nie przedstawił uzasadnienia dla </w:t>
      </w:r>
      <w:r>
        <w:rPr>
          <w:rStyle w:val="sfbbfee58"/>
          <w:sz w:val="20"/>
          <w:szCs w:val="20"/>
        </w:rPr>
        <w:t>przeniesienia</w:t>
      </w:r>
      <w:r w:rsidRPr="00B05C38">
        <w:rPr>
          <w:rStyle w:val="sfbbfee58"/>
          <w:sz w:val="20"/>
          <w:szCs w:val="20"/>
        </w:rPr>
        <w:t xml:space="preserve"> sprawy, Trybunał jest zdania, że należy uznać za obiektywnie uzasadnione obawy skarżącej, iż sędziowie Sądu Najwyższego, w tym Zastępca Przewodniczącego tego Sądu, mieli uprzednio ustalony pogląd na docelowy wynik </w:t>
      </w:r>
      <w:r>
        <w:rPr>
          <w:rStyle w:val="sfbbfee58"/>
          <w:sz w:val="20"/>
          <w:szCs w:val="20"/>
        </w:rPr>
        <w:t>sprawy</w:t>
      </w:r>
      <w:r w:rsidRPr="00B05C38">
        <w:rPr>
          <w:rStyle w:val="sfbbfee58"/>
          <w:sz w:val="20"/>
          <w:szCs w:val="20"/>
        </w:rPr>
        <w:t xml:space="preserve">, oraz że sędziowie, do których sprawa została </w:t>
      </w:r>
      <w:r>
        <w:rPr>
          <w:rStyle w:val="sfbbfee58"/>
          <w:sz w:val="20"/>
          <w:szCs w:val="20"/>
        </w:rPr>
        <w:t>przeniesiona</w:t>
      </w:r>
      <w:r w:rsidRPr="00B05C38">
        <w:rPr>
          <w:rStyle w:val="sfbbfee58"/>
          <w:sz w:val="20"/>
          <w:szCs w:val="20"/>
        </w:rPr>
        <w:t xml:space="preserve"> w dniu 9 października 2000 r., musieli rozpatrzyć sprawę zgodnie ze stanowiskiem Sądu Najwyższego,.</w:t>
      </w:r>
    </w:p>
    <w:p w:rsidR="001C1275" w:rsidRPr="00F5224C" w:rsidRDefault="001C1275" w:rsidP="00F74808">
      <w:pPr>
        <w:pStyle w:val="ECHRParaQuote"/>
        <w:ind w:left="550" w:firstLine="110"/>
        <w:rPr>
          <w:lang w:val="pl-PL"/>
        </w:rPr>
      </w:pPr>
      <w:r w:rsidRPr="001C1519">
        <w:rPr>
          <w:rStyle w:val="sfbbfee58"/>
          <w:lang w:val="pl-PL"/>
        </w:rPr>
        <w:t xml:space="preserve">75. Trybunał jest zdania, że ta ogólna sytuacja proceduralna naruszyła ponadto zasadę pewności prawa (patrz </w:t>
      </w:r>
      <w:r w:rsidRPr="001C1519">
        <w:rPr>
          <w:rStyle w:val="s1a844bc0"/>
          <w:i/>
          <w:iCs/>
          <w:lang w:val="pl-PL"/>
        </w:rPr>
        <w:t>Ryabykh przeciwko Rosji</w:t>
      </w:r>
      <w:r w:rsidRPr="001C1519">
        <w:rPr>
          <w:rStyle w:val="sfbbfee58"/>
          <w:lang w:val="pl-PL"/>
        </w:rPr>
        <w:t>,</w:t>
      </w:r>
      <w:r w:rsidRPr="001C1519">
        <w:rPr>
          <w:rStyle w:val="s1a844bc0"/>
          <w:lang w:val="pl-PL"/>
        </w:rPr>
        <w:t xml:space="preserve"> </w:t>
      </w:r>
      <w:r w:rsidRPr="001C1519">
        <w:rPr>
          <w:rStyle w:val="sfbbfee58"/>
          <w:lang w:val="pl-PL"/>
        </w:rPr>
        <w:t xml:space="preserve">skarga nr </w:t>
      </w:r>
      <w:r w:rsidRPr="005E2BCA">
        <w:rPr>
          <w:lang w:val="pl-PL"/>
        </w:rPr>
        <w:t>52854/99</w:t>
      </w:r>
      <w:r w:rsidRPr="001C1519">
        <w:rPr>
          <w:rStyle w:val="sfbbfee58"/>
          <w:lang w:val="pl-PL"/>
        </w:rPr>
        <w:t>, §§ 51-52, ETPC 2003</w:t>
      </w:r>
      <w:r w:rsidRPr="001C1519">
        <w:rPr>
          <w:rStyle w:val="sfbbfee58"/>
          <w:lang w:val="pl-PL"/>
        </w:rPr>
        <w:noBreakHyphen/>
        <w:t xml:space="preserve">IX). Fakt, że poglądy Sądu Najwyższego na temat sprawy skarżącej różniły się od stanowiska sądów niższej instancji, nie może stanowić wyłącznej podstawy powtórnego rozpatrzenia. </w:t>
      </w:r>
      <w:r w:rsidRPr="00010F8A">
        <w:rPr>
          <w:rStyle w:val="sfbbfee58"/>
          <w:lang w:val="pl-PL"/>
        </w:rPr>
        <w:t>Kompetencje kontrolne sądów</w:t>
      </w:r>
      <w:r w:rsidRPr="001C1519">
        <w:rPr>
          <w:rStyle w:val="sfbbfee58"/>
          <w:lang w:val="pl-PL"/>
        </w:rPr>
        <w:t xml:space="preserve"> wyższej instancji powinny być realizowane w celu </w:t>
      </w:r>
      <w:r>
        <w:rPr>
          <w:rStyle w:val="sfbbfee58"/>
          <w:lang w:val="pl-PL"/>
        </w:rPr>
        <w:t>naprawienia</w:t>
      </w:r>
      <w:r w:rsidRPr="001C1519">
        <w:rPr>
          <w:rStyle w:val="sfbbfee58"/>
          <w:lang w:val="pl-PL"/>
        </w:rPr>
        <w:t xml:space="preserve"> pomyłek sądowych, błędów wymiaru sprawiedliwości, a nie w celu zastępowania oceny stanu faktycznego sformułowanej przez sądy niższej instancji.”</w:t>
      </w:r>
    </w:p>
    <w:p w:rsidR="001C1275" w:rsidRPr="0007141B" w:rsidRDefault="001C1275" w:rsidP="00C264C5">
      <w:pPr>
        <w:pStyle w:val="ECHRPara"/>
        <w:rPr>
          <w:lang w:eastAsia="fr-FR"/>
        </w:rPr>
      </w:pPr>
      <w:r w:rsidRPr="001C1519">
        <w:rPr>
          <w:lang w:eastAsia="fr-FR"/>
        </w:rPr>
        <w:fldChar w:fldCharType="begin"/>
      </w:r>
      <w:r w:rsidRPr="001C1519">
        <w:rPr>
          <w:lang w:eastAsia="fr-FR"/>
        </w:rPr>
        <w:instrText xml:space="preserve"> SEQ level0 \*arabic </w:instrText>
      </w:r>
      <w:r w:rsidRPr="001C1519">
        <w:rPr>
          <w:lang w:eastAsia="fr-FR"/>
        </w:rPr>
        <w:fldChar w:fldCharType="separate"/>
      </w:r>
      <w:r w:rsidRPr="001C1519">
        <w:rPr>
          <w:noProof/>
          <w:lang w:eastAsia="fr-FR"/>
        </w:rPr>
        <w:t>15</w:t>
      </w:r>
      <w:r w:rsidRPr="001C1519">
        <w:rPr>
          <w:lang w:eastAsia="fr-FR"/>
        </w:rPr>
        <w:fldChar w:fldCharType="end"/>
      </w:r>
      <w:r w:rsidRPr="001C1519">
        <w:rPr>
          <w:lang w:eastAsia="fr-FR"/>
        </w:rPr>
        <w:t>.  </w:t>
      </w:r>
      <w:r w:rsidRPr="0007141B">
        <w:rPr>
          <w:lang w:eastAsia="fr-FR"/>
        </w:rPr>
        <w:t>T</w:t>
      </w:r>
      <w:r>
        <w:rPr>
          <w:rStyle w:val="sb8d990e2"/>
        </w:rPr>
        <w:t xml:space="preserve">rybunał zauważył ponadto, że sądy krajowe nie przedstawiły żadnej odpowiedzi na wnioski skarżącej dotyczące wiarygodności oświadczeń świadków oraz ważności dowodów dokumentowych, które były decydujące w kontekście wyniku sprawy (patrz </w:t>
      </w:r>
      <w:r w:rsidRPr="00C84856">
        <w:rPr>
          <w:rStyle w:val="s6b621b36"/>
          <w:i/>
          <w:iCs/>
        </w:rPr>
        <w:t>Bochan</w:t>
      </w:r>
      <w:r>
        <w:rPr>
          <w:rStyle w:val="sb8d990e2"/>
        </w:rPr>
        <w:t xml:space="preserve">, </w:t>
      </w:r>
      <w:r w:rsidRPr="0058730B">
        <w:rPr>
          <w:rStyle w:val="sb8d990e2"/>
          <w:i/>
          <w:iCs/>
        </w:rPr>
        <w:t>op. cit.</w:t>
      </w:r>
      <w:r>
        <w:rPr>
          <w:rStyle w:val="sb8d990e2"/>
        </w:rPr>
        <w:t xml:space="preserve"> §§ 81-84).</w:t>
      </w:r>
    </w:p>
    <w:p w:rsidR="001C1275" w:rsidRPr="00615E2D" w:rsidRDefault="001C1275" w:rsidP="00C264C5">
      <w:pPr>
        <w:pStyle w:val="ECHRPara"/>
        <w:rPr>
          <w:lang w:eastAsia="fr-FR"/>
        </w:rPr>
      </w:pPr>
      <w:r w:rsidRPr="001C1519">
        <w:rPr>
          <w:lang w:eastAsia="fr-FR"/>
        </w:rPr>
        <w:fldChar w:fldCharType="begin"/>
      </w:r>
      <w:r w:rsidRPr="001C1519">
        <w:rPr>
          <w:lang w:eastAsia="fr-FR"/>
        </w:rPr>
        <w:instrText xml:space="preserve"> SEQ level0 \*arabic </w:instrText>
      </w:r>
      <w:r w:rsidRPr="001C1519">
        <w:rPr>
          <w:lang w:eastAsia="fr-FR"/>
        </w:rPr>
        <w:fldChar w:fldCharType="separate"/>
      </w:r>
      <w:r w:rsidRPr="001C1519">
        <w:rPr>
          <w:noProof/>
          <w:lang w:eastAsia="fr-FR"/>
        </w:rPr>
        <w:t>16</w:t>
      </w:r>
      <w:r w:rsidRPr="001C1519">
        <w:rPr>
          <w:lang w:eastAsia="fr-FR"/>
        </w:rPr>
        <w:fldChar w:fldCharType="end"/>
      </w:r>
      <w:r w:rsidRPr="001C1519">
        <w:rPr>
          <w:lang w:eastAsia="fr-FR"/>
        </w:rPr>
        <w:t>.  </w:t>
      </w:r>
      <w:r>
        <w:rPr>
          <w:rStyle w:val="sb8d990e2"/>
        </w:rPr>
        <w:t xml:space="preserve">W oparciu o powyższe ustalenia w kontekście art. 6 ust. 1 Konwencji, Trybunał uznał, że orzekanie w sprawie zarzutu skarżącej na podstawie art. 1 Protokołu nr 1 nie jest konieczne, jako że na tej podstawie nie zaistniała odrębna kwestia (patrz </w:t>
      </w:r>
      <w:r w:rsidRPr="00C84856">
        <w:rPr>
          <w:rStyle w:val="s6b621b36"/>
          <w:i/>
          <w:iCs/>
        </w:rPr>
        <w:t>Bochan</w:t>
      </w:r>
      <w:r>
        <w:rPr>
          <w:rStyle w:val="sb8d990e2"/>
        </w:rPr>
        <w:t xml:space="preserve">, </w:t>
      </w:r>
      <w:r w:rsidRPr="0058730B">
        <w:rPr>
          <w:rStyle w:val="sb8d990e2"/>
          <w:i/>
          <w:iCs/>
        </w:rPr>
        <w:t>op. cit.</w:t>
      </w:r>
      <w:r>
        <w:rPr>
          <w:rStyle w:val="sb8d990e2"/>
        </w:rPr>
        <w:t>, § 91).</w:t>
      </w:r>
    </w:p>
    <w:p w:rsidR="001C1275" w:rsidRPr="00615E2D" w:rsidRDefault="001C1275" w:rsidP="00C264C5">
      <w:pPr>
        <w:pStyle w:val="ECHRPara"/>
        <w:rPr>
          <w:lang w:eastAsia="fr-FR"/>
        </w:rPr>
      </w:pPr>
      <w:r w:rsidRPr="001C1519">
        <w:rPr>
          <w:lang w:eastAsia="fr-FR"/>
        </w:rPr>
        <w:fldChar w:fldCharType="begin"/>
      </w:r>
      <w:r w:rsidRPr="001C1519">
        <w:rPr>
          <w:lang w:eastAsia="fr-FR"/>
        </w:rPr>
        <w:instrText xml:space="preserve"> SEQ level0 \*arabic </w:instrText>
      </w:r>
      <w:r w:rsidRPr="001C1519">
        <w:rPr>
          <w:lang w:eastAsia="fr-FR"/>
        </w:rPr>
        <w:fldChar w:fldCharType="separate"/>
      </w:r>
      <w:r w:rsidRPr="001C1519">
        <w:rPr>
          <w:noProof/>
          <w:lang w:eastAsia="fr-FR"/>
        </w:rPr>
        <w:t>17</w:t>
      </w:r>
      <w:r w:rsidRPr="001C1519">
        <w:rPr>
          <w:lang w:eastAsia="fr-FR"/>
        </w:rPr>
        <w:fldChar w:fldCharType="end"/>
      </w:r>
      <w:r w:rsidRPr="001C1519">
        <w:rPr>
          <w:lang w:eastAsia="fr-FR"/>
        </w:rPr>
        <w:t>.  </w:t>
      </w:r>
      <w:r>
        <w:rPr>
          <w:rStyle w:val="sb8d990e2"/>
        </w:rPr>
        <w:t xml:space="preserve">Zgłoszone przez skarżącą zarzuty dotyczące długości postępowania i naruszenia art. 1 Protokołu nr 1 w związku z art. 14 Konwencji zostały oddalone jako bezpodstawne (patrz </w:t>
      </w:r>
      <w:r w:rsidRPr="00C84856">
        <w:rPr>
          <w:rStyle w:val="s6b621b36"/>
          <w:i/>
          <w:iCs/>
        </w:rPr>
        <w:t>Bochan</w:t>
      </w:r>
      <w:r>
        <w:rPr>
          <w:rStyle w:val="sb8d990e2"/>
        </w:rPr>
        <w:t xml:space="preserve">, </w:t>
      </w:r>
      <w:r w:rsidRPr="0058730B">
        <w:rPr>
          <w:rStyle w:val="sb8d990e2"/>
          <w:i/>
          <w:iCs/>
        </w:rPr>
        <w:t>op. cit.</w:t>
      </w:r>
      <w:r>
        <w:rPr>
          <w:rStyle w:val="sb8d990e2"/>
        </w:rPr>
        <w:t>, §§ 87 i 93).</w:t>
      </w:r>
    </w:p>
    <w:p w:rsidR="001C1275" w:rsidRPr="00615E2D" w:rsidRDefault="001C1275" w:rsidP="00C264C5">
      <w:pPr>
        <w:pStyle w:val="ECHRPara"/>
      </w:pPr>
      <w:r w:rsidRPr="001C1519">
        <w:rPr>
          <w:lang w:eastAsia="fr-FR"/>
        </w:rPr>
        <w:fldChar w:fldCharType="begin"/>
      </w:r>
      <w:r w:rsidRPr="001C1519">
        <w:rPr>
          <w:lang w:eastAsia="fr-FR"/>
        </w:rPr>
        <w:instrText xml:space="preserve"> SEQ level0 \*arabic </w:instrText>
      </w:r>
      <w:r w:rsidRPr="001C1519">
        <w:rPr>
          <w:lang w:eastAsia="fr-FR"/>
        </w:rPr>
        <w:fldChar w:fldCharType="separate"/>
      </w:r>
      <w:r w:rsidRPr="001C1519">
        <w:rPr>
          <w:noProof/>
          <w:lang w:eastAsia="fr-FR"/>
        </w:rPr>
        <w:t>18</w:t>
      </w:r>
      <w:r w:rsidRPr="001C1519">
        <w:rPr>
          <w:lang w:eastAsia="fr-FR"/>
        </w:rPr>
        <w:fldChar w:fldCharType="end"/>
      </w:r>
      <w:r w:rsidRPr="001C1519">
        <w:rPr>
          <w:lang w:eastAsia="fr-FR"/>
        </w:rPr>
        <w:t>.  </w:t>
      </w:r>
      <w:r>
        <w:rPr>
          <w:rStyle w:val="sb8d990e2"/>
        </w:rPr>
        <w:t xml:space="preserve">Skarżącej przyznano kwotę w wysokości 2.000 EUR tytułem słusznego zadośćuczynienia za poniesione szkody niemajątkowe. Trybunał zauważył również, „że skarżąca jest zgodnie z prawem ukraińskim upoważniona do ubiegania się o ponowne rozpatrzenie jej sprawy w świetle ustaleń Trybunału stwierdzających, że sądy krajowe nie działały w jej sprawie zgodnie z art. 6” (patrz </w:t>
      </w:r>
      <w:r w:rsidRPr="00C84856">
        <w:rPr>
          <w:rStyle w:val="s6b621b36"/>
          <w:i/>
          <w:iCs/>
        </w:rPr>
        <w:t>Bochan</w:t>
      </w:r>
      <w:r>
        <w:rPr>
          <w:rStyle w:val="sb8d990e2"/>
        </w:rPr>
        <w:t xml:space="preserve">, </w:t>
      </w:r>
      <w:r w:rsidRPr="0058730B">
        <w:rPr>
          <w:rStyle w:val="sb8d990e2"/>
          <w:i/>
          <w:iCs/>
        </w:rPr>
        <w:t>op. cit.</w:t>
      </w:r>
      <w:r>
        <w:rPr>
          <w:rStyle w:val="sb8d990e2"/>
        </w:rPr>
        <w:t>, §§ 97 i 98).</w:t>
      </w:r>
    </w:p>
    <w:p w:rsidR="001C1275" w:rsidRPr="00615E2D" w:rsidRDefault="001C1275" w:rsidP="00C264C5">
      <w:pPr>
        <w:pStyle w:val="ECHRPara"/>
        <w:rPr>
          <w:lang w:eastAsia="fr-FR"/>
        </w:rPr>
      </w:pPr>
      <w:fldSimple w:instr=" SEQ level0 \*arabic ">
        <w:r w:rsidRPr="001C1519">
          <w:rPr>
            <w:noProof/>
          </w:rPr>
          <w:t>19</w:t>
        </w:r>
      </w:fldSimple>
      <w:r w:rsidRPr="001C1519">
        <w:t>.  </w:t>
      </w:r>
      <w:r>
        <w:rPr>
          <w:rStyle w:val="sb8d990e2"/>
        </w:rPr>
        <w:t>Do chwili obecnej Komitet Ministrów Rady Europy nie zakończył jeszcze nadzoru dotyczącego wykonania tego wyroku na mocy art. 46 ust. 2 Konwencji.</w:t>
      </w:r>
    </w:p>
    <w:p w:rsidR="001C1275" w:rsidRPr="00615E2D" w:rsidRDefault="001C1275" w:rsidP="00904C9F">
      <w:pPr>
        <w:pStyle w:val="ECHRHeading2"/>
        <w:rPr>
          <w:lang w:val="pl-PL" w:eastAsia="fr-FR"/>
        </w:rPr>
      </w:pPr>
      <w:r w:rsidRPr="00615E2D">
        <w:rPr>
          <w:lang w:val="pl-PL" w:eastAsia="fr-FR"/>
        </w:rPr>
        <w:t>C. </w:t>
      </w:r>
      <w:r>
        <w:rPr>
          <w:lang w:val="pl-PL" w:eastAsia="fr-FR"/>
        </w:rPr>
        <w:t>„</w:t>
      </w:r>
      <w:r w:rsidRPr="001C1519">
        <w:rPr>
          <w:rStyle w:val="s7d2086b4"/>
          <w:lang w:val="pl-PL"/>
        </w:rPr>
        <w:t>Odwołanie w świetle wyjątkowych okoliczności” wniesione przez skarżącą</w:t>
      </w:r>
    </w:p>
    <w:p w:rsidR="001C1275" w:rsidRPr="006E0BF6" w:rsidRDefault="001C1275" w:rsidP="006E0BF6">
      <w:pPr>
        <w:pStyle w:val="s30eec3f8"/>
        <w:spacing w:after="0" w:afterAutospacing="0"/>
        <w:ind w:firstLine="329"/>
        <w:jc w:val="both"/>
      </w:pPr>
      <w:r>
        <w:rPr>
          <w:lang w:eastAsia="fr-FR"/>
        </w:rPr>
        <w:fldChar w:fldCharType="begin"/>
      </w:r>
      <w:r>
        <w:rPr>
          <w:lang w:eastAsia="fr-FR"/>
        </w:rPr>
        <w:instrText xml:space="preserve"> SEQ level0 \*arabic </w:instrText>
      </w:r>
      <w:r>
        <w:rPr>
          <w:lang w:eastAsia="fr-FR"/>
        </w:rPr>
        <w:fldChar w:fldCharType="separate"/>
      </w:r>
      <w:r>
        <w:rPr>
          <w:noProof/>
          <w:lang w:eastAsia="fr-FR"/>
        </w:rPr>
        <w:t>20</w:t>
      </w:r>
      <w:r>
        <w:rPr>
          <w:lang w:eastAsia="fr-FR"/>
        </w:rPr>
        <w:fldChar w:fldCharType="end"/>
      </w:r>
      <w:r>
        <w:rPr>
          <w:lang w:eastAsia="fr-FR"/>
        </w:rPr>
        <w:t>.</w:t>
      </w:r>
      <w:r w:rsidRPr="006E0BF6">
        <w:rPr>
          <w:lang w:eastAsia="fr-FR"/>
        </w:rPr>
        <w:t xml:space="preserve"> </w:t>
      </w:r>
      <w:r>
        <w:rPr>
          <w:rStyle w:val="sb8d990e2"/>
        </w:rPr>
        <w:t>W dniu 14 czerwca 2007 r. skarżąca wniosła do Sądu Najwyższego „odwołanie w świetle wyjątkowych okoliczności”, na podstawie w szczególności art. 353-355 Kodeksu postępowania cywilnego z 2004 r.(zob. paragraf 24 poniżej). W oparciu o wyrok Trybunału z dnia 3 maja 2007 r. skarżąca wystąpiła do Sądu Najwyższego o uchylenie decyzji sądów w jej sprawie oraz o wydanie nowego wyroku, uznającego jej roszczenie w całości. Do swojego odwołania dołączyła kopie rzeczonego wyroku Trybunału oraz decyzji krajowych.</w:t>
      </w:r>
    </w:p>
    <w:p w:rsidR="001C1275" w:rsidRPr="00CF1FD3" w:rsidRDefault="001C1275" w:rsidP="00C264C5">
      <w:pPr>
        <w:pStyle w:val="ECHRPara"/>
        <w:rPr>
          <w:lang w:eastAsia="fr-FR"/>
        </w:rPr>
      </w:pPr>
      <w:r w:rsidRPr="00CF1FD3">
        <w:rPr>
          <w:lang w:eastAsia="fr-FR"/>
        </w:rPr>
        <w:fldChar w:fldCharType="begin"/>
      </w:r>
      <w:r w:rsidRPr="00CF1FD3">
        <w:rPr>
          <w:lang w:eastAsia="fr-FR"/>
        </w:rPr>
        <w:instrText xml:space="preserve"> SEQ level0 \*arabic </w:instrText>
      </w:r>
      <w:r w:rsidRPr="00CF1FD3">
        <w:rPr>
          <w:lang w:eastAsia="fr-FR"/>
        </w:rPr>
        <w:fldChar w:fldCharType="separate"/>
      </w:r>
      <w:r w:rsidRPr="00CF1FD3">
        <w:rPr>
          <w:noProof/>
          <w:lang w:eastAsia="fr-FR"/>
        </w:rPr>
        <w:t>21</w:t>
      </w:r>
      <w:r w:rsidRPr="00CF1FD3">
        <w:rPr>
          <w:lang w:eastAsia="fr-FR"/>
        </w:rPr>
        <w:fldChar w:fldCharType="end"/>
      </w:r>
      <w:r w:rsidRPr="00CF1FD3">
        <w:rPr>
          <w:lang w:eastAsia="fr-FR"/>
        </w:rPr>
        <w:t>.  </w:t>
      </w:r>
      <w:r>
        <w:rPr>
          <w:rStyle w:val="sb8d990e2"/>
        </w:rPr>
        <w:t>W dniu 14 marca 2008 r. panel 18 sędziów Wydziału Cywilnego Sądu Najwyższego, po rozpatrzeniu odwołania w izbach oraz w oparciu o art. 358 Kodeksu postępowania cywilnego z 2004 r. (cytowany w paragrafie 24 poniżej), oddalił odwołanie skarżącej. Odnośna część decyzji Sądu Najwyższego stanowi, co następuje:</w:t>
      </w:r>
    </w:p>
    <w:p w:rsidR="001C1275" w:rsidRPr="00CF069A" w:rsidRDefault="001C1275" w:rsidP="00087E16">
      <w:pPr>
        <w:pStyle w:val="s9e9b0cd7"/>
        <w:spacing w:before="120" w:beforeAutospacing="0" w:after="120" w:afterAutospacing="0"/>
        <w:ind w:left="550" w:firstLine="110"/>
        <w:jc w:val="both"/>
        <w:rPr>
          <w:sz w:val="20"/>
          <w:szCs w:val="20"/>
        </w:rPr>
      </w:pPr>
      <w:r w:rsidRPr="00CF069A">
        <w:rPr>
          <w:rStyle w:val="sfbbfee58"/>
          <w:sz w:val="20"/>
          <w:szCs w:val="20"/>
        </w:rPr>
        <w:t xml:space="preserve">„Wyrokiem z dnia 3 maja 2007 r. Europejski Trybunał Praw Człowieka uznał </w:t>
      </w:r>
      <w:r>
        <w:rPr>
          <w:rStyle w:val="sfbbfee58"/>
          <w:sz w:val="20"/>
          <w:szCs w:val="20"/>
        </w:rPr>
        <w:t xml:space="preserve">skargę </w:t>
      </w:r>
      <w:r w:rsidRPr="00CF069A">
        <w:rPr>
          <w:rStyle w:val="sfbbfee58"/>
          <w:sz w:val="20"/>
          <w:szCs w:val="20"/>
        </w:rPr>
        <w:t xml:space="preserve">skarżącej w zakresie </w:t>
      </w:r>
      <w:r>
        <w:rPr>
          <w:rStyle w:val="sfbbfee58"/>
          <w:sz w:val="20"/>
          <w:szCs w:val="20"/>
        </w:rPr>
        <w:t xml:space="preserve">zarzutu </w:t>
      </w:r>
      <w:r w:rsidRPr="00CF069A">
        <w:rPr>
          <w:rStyle w:val="sfbbfee58"/>
          <w:sz w:val="20"/>
          <w:szCs w:val="20"/>
        </w:rPr>
        <w:t>nierzetelności postępowania oraz naruszenia art. 1</w:t>
      </w:r>
      <w:r>
        <w:rPr>
          <w:rStyle w:val="sfbbfee58"/>
          <w:sz w:val="20"/>
          <w:szCs w:val="20"/>
        </w:rPr>
        <w:t xml:space="preserve"> Protokołu nr 1 za dopuszczalną</w:t>
      </w:r>
      <w:r w:rsidRPr="00CF069A">
        <w:rPr>
          <w:rStyle w:val="sfbbfee58"/>
          <w:sz w:val="20"/>
          <w:szCs w:val="20"/>
        </w:rPr>
        <w:t xml:space="preserve">, pozostałą zaś część skargi za niedopuszczalną. Naruszenie art. 6 </w:t>
      </w:r>
      <w:r w:rsidRPr="00374757">
        <w:rPr>
          <w:rStyle w:val="sfbbfee58"/>
          <w:sz w:val="20"/>
          <w:szCs w:val="20"/>
        </w:rPr>
        <w:t xml:space="preserve">ust. </w:t>
      </w:r>
      <w:r w:rsidRPr="00CF069A">
        <w:rPr>
          <w:rStyle w:val="sfbbfee58"/>
          <w:sz w:val="20"/>
          <w:szCs w:val="20"/>
        </w:rPr>
        <w:t xml:space="preserve">1 Konwencji ... zostało stwierdzone w sprawie. [Trybunał] orzekł, że pozwane Państwo ma zapłacić skarżącej w terminie trzech miesięcy od daty, w której wyrok stał się ostateczny zgodnie z art. 44 </w:t>
      </w:r>
      <w:r w:rsidRPr="00374757">
        <w:rPr>
          <w:rStyle w:val="sfbbfee58"/>
          <w:sz w:val="20"/>
          <w:szCs w:val="20"/>
        </w:rPr>
        <w:t xml:space="preserve">ust. </w:t>
      </w:r>
      <w:r w:rsidRPr="00CF069A">
        <w:rPr>
          <w:rStyle w:val="sfbbfee58"/>
          <w:sz w:val="20"/>
          <w:szCs w:val="20"/>
        </w:rPr>
        <w:t>2 Konwencji, kwotę 2 000 EUR (dwóch tysięcy EUR) za szkody niematerialne ...</w:t>
      </w:r>
    </w:p>
    <w:p w:rsidR="001C1275" w:rsidRPr="00CF069A" w:rsidRDefault="001C1275" w:rsidP="00087E16">
      <w:pPr>
        <w:pStyle w:val="s9e9b0cd7"/>
        <w:spacing w:before="120" w:beforeAutospacing="0" w:after="120" w:afterAutospacing="0"/>
        <w:ind w:left="550" w:firstLine="110"/>
        <w:jc w:val="both"/>
        <w:rPr>
          <w:sz w:val="20"/>
          <w:szCs w:val="20"/>
        </w:rPr>
      </w:pPr>
      <w:r w:rsidRPr="00CF069A">
        <w:rPr>
          <w:rStyle w:val="sfbbfee58"/>
          <w:sz w:val="20"/>
          <w:szCs w:val="20"/>
        </w:rPr>
        <w:t>W paragrafie 64 wyroku Europejskiego Trybunał Praw Człowieka zauważa się, że</w:t>
      </w:r>
      <w:r>
        <w:rPr>
          <w:rStyle w:val="sfbbfee58"/>
          <w:sz w:val="20"/>
          <w:szCs w:val="20"/>
        </w:rPr>
        <w:t xml:space="preserve"> twierdzenia skarżącej dotyczą</w:t>
      </w:r>
      <w:r w:rsidRPr="00CF069A">
        <w:rPr>
          <w:rStyle w:val="sfbbfee58"/>
          <w:sz w:val="20"/>
          <w:szCs w:val="20"/>
        </w:rPr>
        <w:t xml:space="preserve"> głównie czterech kwestii, a mianowicie:</w:t>
      </w:r>
    </w:p>
    <w:p w:rsidR="001C1275" w:rsidRPr="00CF069A" w:rsidRDefault="001C1275" w:rsidP="00087E16">
      <w:pPr>
        <w:pStyle w:val="s9e9b0cd7"/>
        <w:spacing w:before="120" w:beforeAutospacing="0" w:after="120" w:afterAutospacing="0"/>
        <w:ind w:left="550" w:firstLine="110"/>
        <w:jc w:val="both"/>
        <w:rPr>
          <w:sz w:val="20"/>
          <w:szCs w:val="20"/>
        </w:rPr>
      </w:pPr>
      <w:r w:rsidRPr="00CF069A">
        <w:rPr>
          <w:rStyle w:val="sfbbfee58"/>
          <w:sz w:val="20"/>
          <w:szCs w:val="20"/>
        </w:rPr>
        <w:t>(a) czy sądy zajmujące się sprawą [skarżącej] działały w sposób niezależny i bezstronny;</w:t>
      </w:r>
    </w:p>
    <w:p w:rsidR="001C1275" w:rsidRPr="00CF069A" w:rsidRDefault="001C1275" w:rsidP="00087E16">
      <w:pPr>
        <w:pStyle w:val="s9e9b0cd7"/>
        <w:spacing w:before="120" w:beforeAutospacing="0" w:after="120" w:afterAutospacing="0"/>
        <w:ind w:left="550" w:firstLine="110"/>
        <w:jc w:val="both"/>
        <w:rPr>
          <w:sz w:val="20"/>
          <w:szCs w:val="20"/>
        </w:rPr>
      </w:pPr>
      <w:r w:rsidRPr="00CF069A">
        <w:rPr>
          <w:rStyle w:val="sfbbfee58"/>
          <w:sz w:val="20"/>
          <w:szCs w:val="20"/>
        </w:rPr>
        <w:t>(b) czy fakt, że rozprawa odbyła się przed Czemerowieckim Sądem Miejskim, uniemożliwił skarżącej udział w postępowaniu;</w:t>
      </w:r>
    </w:p>
    <w:p w:rsidR="001C1275" w:rsidRPr="00CF069A" w:rsidRDefault="001C1275" w:rsidP="00087E16">
      <w:pPr>
        <w:pStyle w:val="s9e9b0cd7"/>
        <w:spacing w:before="120" w:beforeAutospacing="0" w:after="120" w:afterAutospacing="0"/>
        <w:ind w:left="550" w:firstLine="110"/>
        <w:jc w:val="both"/>
        <w:rPr>
          <w:sz w:val="20"/>
          <w:szCs w:val="20"/>
        </w:rPr>
      </w:pPr>
      <w:r w:rsidRPr="00CF069A">
        <w:rPr>
          <w:rStyle w:val="sfbbfee58"/>
          <w:sz w:val="20"/>
          <w:szCs w:val="20"/>
        </w:rPr>
        <w:t>(c) czy zasada równości stron była przestrzegana, jeżeli idzie o niewysłuchanie przez sądy krajowe zeznań świadków, których pisemne deklaracje dopuszczono jako dowody;</w:t>
      </w:r>
    </w:p>
    <w:p w:rsidR="001C1275" w:rsidRPr="00CF069A" w:rsidRDefault="001C1275" w:rsidP="00087E16">
      <w:pPr>
        <w:pStyle w:val="s9e9b0cd7"/>
        <w:spacing w:before="120" w:beforeAutospacing="0" w:after="120" w:afterAutospacing="0"/>
        <w:ind w:left="550" w:firstLine="110"/>
        <w:jc w:val="both"/>
        <w:rPr>
          <w:sz w:val="20"/>
          <w:szCs w:val="20"/>
        </w:rPr>
      </w:pPr>
      <w:r w:rsidRPr="00CF069A">
        <w:rPr>
          <w:rStyle w:val="sfbbfee58"/>
          <w:sz w:val="20"/>
          <w:szCs w:val="20"/>
        </w:rPr>
        <w:t>(d) czy ostateczne decyzje wydane przez sąd pierwszej instancji, sąd odwoławczy i kasacyjny były wystarczająco uzasadnione.</w:t>
      </w:r>
    </w:p>
    <w:p w:rsidR="001C1275" w:rsidRPr="00CF069A" w:rsidRDefault="001C1275" w:rsidP="00087E16">
      <w:pPr>
        <w:pStyle w:val="s9e9b0cd7"/>
        <w:spacing w:before="120" w:beforeAutospacing="0" w:after="120" w:afterAutospacing="0"/>
        <w:ind w:left="550" w:firstLine="110"/>
        <w:jc w:val="both"/>
        <w:rPr>
          <w:sz w:val="20"/>
          <w:szCs w:val="20"/>
        </w:rPr>
      </w:pPr>
      <w:r w:rsidRPr="00CF069A">
        <w:rPr>
          <w:rStyle w:val="sfbbfee58"/>
          <w:sz w:val="20"/>
          <w:szCs w:val="20"/>
        </w:rPr>
        <w:t xml:space="preserve">Jak </w:t>
      </w:r>
      <w:r>
        <w:rPr>
          <w:rStyle w:val="sfbbfee58"/>
          <w:sz w:val="20"/>
          <w:szCs w:val="20"/>
        </w:rPr>
        <w:t>wynika z akt sprawy</w:t>
      </w:r>
      <w:r w:rsidRPr="00CF069A">
        <w:rPr>
          <w:rStyle w:val="sfbbfee58"/>
          <w:sz w:val="20"/>
          <w:szCs w:val="20"/>
        </w:rPr>
        <w:t xml:space="preserve">, skarżąca była reprezentowana w postępowaniu [krajowym] przez swojego syna, prawnika ... Podczas całego okresu prowadzenia postępowania skarżąca nie stawiła się w sądzie, </w:t>
      </w:r>
      <w:r>
        <w:rPr>
          <w:rStyle w:val="sfbbfee58"/>
          <w:sz w:val="20"/>
          <w:szCs w:val="20"/>
        </w:rPr>
        <w:t>choć</w:t>
      </w:r>
      <w:r w:rsidRPr="00CF069A">
        <w:rPr>
          <w:rStyle w:val="sfbbfee58"/>
          <w:sz w:val="20"/>
          <w:szCs w:val="20"/>
        </w:rPr>
        <w:t xml:space="preserve"> była należycie informowana o przebiegu rozprawy.</w:t>
      </w:r>
    </w:p>
    <w:p w:rsidR="001C1275" w:rsidRPr="00CF069A" w:rsidRDefault="001C1275" w:rsidP="00087E16">
      <w:pPr>
        <w:pStyle w:val="s9e9b0cd7"/>
        <w:spacing w:before="120" w:beforeAutospacing="0" w:after="120" w:afterAutospacing="0"/>
        <w:ind w:left="550" w:firstLine="110"/>
        <w:jc w:val="both"/>
        <w:rPr>
          <w:sz w:val="20"/>
          <w:szCs w:val="20"/>
        </w:rPr>
      </w:pPr>
      <w:r w:rsidRPr="00CF069A">
        <w:rPr>
          <w:rStyle w:val="sfbbfee58"/>
          <w:sz w:val="20"/>
          <w:szCs w:val="20"/>
        </w:rPr>
        <w:t>Żadna z osób biorących udział w sprawie, w tym pan B.I. [syn skarżącej], nie poprosiła o wezwanie świadków ... Pan B.I. nie przedłożył oświadczeń świadków... mogących udowodnić, że dom został zbudowany na jego koszt (lub koszt jego ojca lub matki).</w:t>
      </w:r>
    </w:p>
    <w:p w:rsidR="001C1275" w:rsidRPr="00CF069A" w:rsidRDefault="001C1275" w:rsidP="00115A21">
      <w:pPr>
        <w:pStyle w:val="s9e9b0cd7"/>
        <w:spacing w:before="120" w:beforeAutospacing="0" w:after="120" w:afterAutospacing="0"/>
        <w:ind w:left="550" w:firstLine="110"/>
        <w:jc w:val="both"/>
        <w:rPr>
          <w:sz w:val="20"/>
          <w:szCs w:val="20"/>
        </w:rPr>
      </w:pPr>
      <w:r w:rsidRPr="00CF069A">
        <w:rPr>
          <w:rStyle w:val="sfbbfee58"/>
          <w:sz w:val="20"/>
          <w:szCs w:val="20"/>
        </w:rPr>
        <w:t>Żadna ze stron, w tym pan B.I., nie wystąpiła o wyłączenie sędziego [pierwszej instancji] od sprawy. Zastrzeżenia dotyczące braku obiektywności sądu ... zostały podniesione przez p. B.I. dopiero po wydaniu wyroku w sprawie.</w:t>
      </w:r>
    </w:p>
    <w:p w:rsidR="001C1275" w:rsidRPr="00CF069A" w:rsidRDefault="001C1275" w:rsidP="00087E16">
      <w:pPr>
        <w:pStyle w:val="s9e9b0cd7"/>
        <w:spacing w:before="120" w:beforeAutospacing="0" w:after="120" w:afterAutospacing="0"/>
        <w:ind w:left="550" w:firstLine="110"/>
        <w:jc w:val="both"/>
        <w:rPr>
          <w:sz w:val="20"/>
          <w:szCs w:val="20"/>
        </w:rPr>
      </w:pPr>
      <w:r w:rsidRPr="00CF069A">
        <w:rPr>
          <w:rStyle w:val="sfbbfee58"/>
          <w:sz w:val="20"/>
          <w:szCs w:val="20"/>
        </w:rPr>
        <w:t xml:space="preserve">Jak </w:t>
      </w:r>
      <w:r>
        <w:rPr>
          <w:rStyle w:val="sfbbfee58"/>
          <w:sz w:val="20"/>
          <w:szCs w:val="20"/>
        </w:rPr>
        <w:t xml:space="preserve">wynika </w:t>
      </w:r>
      <w:r w:rsidRPr="00CF069A">
        <w:rPr>
          <w:rStyle w:val="sfbbfee58"/>
          <w:sz w:val="20"/>
          <w:szCs w:val="20"/>
        </w:rPr>
        <w:t xml:space="preserve">z materiałów sprawy, ważność umowy sprzedaży z dnia 18 marca 1993 r., zgodnie z którą pan M. nabył od pana B.I. połowę fundamentów oraz pewne materiały budowlane, nie była kwestionowana ... Istnieje również dokument potwierdzający, że lewa strona domu została zbudowana na koszt pana M. oraz dokument, zgodnie z którym pan M. zapłacił panu B.I. kwotę 1 550 000 000 karbowańców [była waluta przejściowa na Ukrainie, będąca w obiegu do września 1996 r.] za fundamenty lewej części domu. Okoliczności te nie zostały obalone wskutek zbadania sprawy przez </w:t>
      </w:r>
      <w:r>
        <w:rPr>
          <w:rStyle w:val="sfbbfee58"/>
          <w:sz w:val="20"/>
          <w:szCs w:val="20"/>
        </w:rPr>
        <w:t>biegłego</w:t>
      </w:r>
      <w:r w:rsidRPr="00CF069A">
        <w:rPr>
          <w:rStyle w:val="sfbbfee58"/>
          <w:sz w:val="20"/>
          <w:szCs w:val="20"/>
        </w:rPr>
        <w:t>.</w:t>
      </w:r>
    </w:p>
    <w:p w:rsidR="001C1275" w:rsidRPr="00CF069A" w:rsidRDefault="001C1275" w:rsidP="00087E16">
      <w:pPr>
        <w:pStyle w:val="s9e9b0cd7"/>
        <w:spacing w:before="120" w:beforeAutospacing="0" w:after="120" w:afterAutospacing="0"/>
        <w:ind w:left="550" w:firstLine="110"/>
        <w:jc w:val="both"/>
        <w:rPr>
          <w:sz w:val="20"/>
          <w:szCs w:val="20"/>
        </w:rPr>
      </w:pPr>
      <w:r w:rsidRPr="00CF069A">
        <w:rPr>
          <w:rStyle w:val="sfbbfee58"/>
          <w:sz w:val="20"/>
          <w:szCs w:val="20"/>
        </w:rPr>
        <w:t xml:space="preserve">W swoim wyroku Europejski Trybunał Praw Człowieka zauważył również, że skarżąca ... nie przedstawiła dowodów, że spotkała ją dyskryminacja w korzystaniu z jej praw własności, niezgodnie z art. 14 Konwencji w związku z art. 1 Protokołu nr 1, ze względu na wynik postępowania sądowego. [Trybunał] podsumował, że </w:t>
      </w:r>
      <w:r>
        <w:rPr>
          <w:rStyle w:val="sfbbfee58"/>
          <w:sz w:val="20"/>
          <w:szCs w:val="20"/>
        </w:rPr>
        <w:t xml:space="preserve"> skargi</w:t>
      </w:r>
      <w:r w:rsidRPr="00CF069A">
        <w:rPr>
          <w:rStyle w:val="sfbbfee58"/>
          <w:sz w:val="20"/>
          <w:szCs w:val="20"/>
        </w:rPr>
        <w:t xml:space="preserve"> skarżącej [na mocy przywołanych przepisów] podlegają oddaleniu jako </w:t>
      </w:r>
      <w:r>
        <w:rPr>
          <w:rStyle w:val="sfbbfee58"/>
          <w:sz w:val="20"/>
          <w:szCs w:val="20"/>
        </w:rPr>
        <w:t>w sposób oczywisty nieuzasadnione</w:t>
      </w:r>
      <w:r w:rsidRPr="00CF069A">
        <w:rPr>
          <w:rStyle w:val="sfbbfee58"/>
          <w:sz w:val="20"/>
          <w:szCs w:val="20"/>
        </w:rPr>
        <w:t xml:space="preserve"> zgodnie z art. 35 </w:t>
      </w:r>
      <w:r w:rsidRPr="00374757">
        <w:rPr>
          <w:rStyle w:val="sfbbfee58"/>
          <w:sz w:val="20"/>
          <w:szCs w:val="20"/>
        </w:rPr>
        <w:t xml:space="preserve">ust. </w:t>
      </w:r>
      <w:r w:rsidRPr="00CF069A">
        <w:rPr>
          <w:rStyle w:val="sfbbfee58"/>
          <w:sz w:val="20"/>
          <w:szCs w:val="20"/>
        </w:rPr>
        <w:t xml:space="preserve">3 i 4  Konwencji. W związku z tym Europejski Trybunał Praw Człowieka uznał, że decyzje sądów [krajowych] były prawomocne i dobrze uzasadnione, i postanowił przyznać skarżącej odszkodowanie w kwocie 2 000 EUR wyłącznie z tytułu naruszenia wymogu "rozsądnego </w:t>
      </w:r>
      <w:r>
        <w:rPr>
          <w:rStyle w:val="sfbbfee58"/>
          <w:sz w:val="20"/>
          <w:szCs w:val="20"/>
        </w:rPr>
        <w:t>terminu</w:t>
      </w:r>
      <w:r w:rsidRPr="00CF069A">
        <w:rPr>
          <w:rStyle w:val="sfbbfee58"/>
          <w:sz w:val="20"/>
          <w:szCs w:val="20"/>
        </w:rPr>
        <w:t>" przez ukraińskie sądy.</w:t>
      </w:r>
    </w:p>
    <w:p w:rsidR="001C1275" w:rsidRPr="00CF069A" w:rsidRDefault="001C1275" w:rsidP="00087E16">
      <w:pPr>
        <w:pStyle w:val="s9e9b0cd7"/>
        <w:ind w:left="550" w:firstLine="110"/>
        <w:jc w:val="both"/>
        <w:rPr>
          <w:sz w:val="20"/>
          <w:szCs w:val="20"/>
        </w:rPr>
      </w:pPr>
      <w:r w:rsidRPr="00CF069A">
        <w:rPr>
          <w:rStyle w:val="sfbbfee58"/>
          <w:sz w:val="20"/>
          <w:szCs w:val="20"/>
        </w:rPr>
        <w:t>W świetle powyższego decyzje sądów w tej sprawie nie mog</w:t>
      </w:r>
      <w:r>
        <w:rPr>
          <w:rStyle w:val="sfbbfee58"/>
          <w:sz w:val="20"/>
          <w:szCs w:val="20"/>
        </w:rPr>
        <w:t>ą</w:t>
      </w:r>
      <w:r w:rsidRPr="00CF069A">
        <w:rPr>
          <w:rStyle w:val="sfbbfee58"/>
          <w:sz w:val="20"/>
          <w:szCs w:val="20"/>
        </w:rPr>
        <w:t xml:space="preserve"> być uchylone na podstawach wskazanych w skardze pani Bochan.</w:t>
      </w:r>
    </w:p>
    <w:p w:rsidR="001C1275" w:rsidRPr="00CF069A" w:rsidRDefault="001C1275" w:rsidP="00087E16">
      <w:pPr>
        <w:pStyle w:val="s9e9b0cd7"/>
        <w:spacing w:before="120" w:beforeAutospacing="0" w:after="120" w:afterAutospacing="0"/>
        <w:ind w:left="550" w:firstLine="110"/>
        <w:jc w:val="both"/>
        <w:rPr>
          <w:sz w:val="20"/>
          <w:szCs w:val="20"/>
        </w:rPr>
      </w:pPr>
      <w:r w:rsidRPr="00CF069A">
        <w:rPr>
          <w:rStyle w:val="sfbbfee58"/>
          <w:sz w:val="20"/>
          <w:szCs w:val="20"/>
        </w:rPr>
        <w:t>Opierając się na [art.] 358 [ukraińskiego Kodeksu postępowania cywilnego], panel sędziów Wydziału Cywilnego Sądu Najwyższego Ukrainy</w:t>
      </w:r>
    </w:p>
    <w:p w:rsidR="001C1275" w:rsidRPr="00CF069A" w:rsidRDefault="001C1275" w:rsidP="00087E16">
      <w:pPr>
        <w:pStyle w:val="s9e9b0cd7"/>
        <w:spacing w:before="120" w:beforeAutospacing="0" w:after="120" w:afterAutospacing="0"/>
        <w:ind w:left="550" w:firstLine="110"/>
        <w:jc w:val="both"/>
        <w:rPr>
          <w:sz w:val="20"/>
          <w:szCs w:val="20"/>
        </w:rPr>
      </w:pPr>
      <w:r w:rsidRPr="00CF069A">
        <w:rPr>
          <w:rStyle w:val="sfbbfee58"/>
          <w:sz w:val="20"/>
          <w:szCs w:val="20"/>
        </w:rPr>
        <w:t>[Postanowił]:</w:t>
      </w:r>
    </w:p>
    <w:p w:rsidR="001C1275" w:rsidRPr="00CF069A" w:rsidRDefault="001C1275" w:rsidP="00087E16">
      <w:pPr>
        <w:pStyle w:val="s9e9b0cd7"/>
        <w:spacing w:before="120" w:beforeAutospacing="0" w:after="120" w:afterAutospacing="0"/>
        <w:ind w:left="550" w:firstLine="110"/>
        <w:jc w:val="both"/>
        <w:rPr>
          <w:sz w:val="20"/>
          <w:szCs w:val="20"/>
        </w:rPr>
      </w:pPr>
      <w:r>
        <w:rPr>
          <w:rStyle w:val="sfbbfee58"/>
          <w:sz w:val="20"/>
          <w:szCs w:val="20"/>
        </w:rPr>
        <w:t>Odrzucić skargę odwoławczą</w:t>
      </w:r>
      <w:r w:rsidRPr="00CF069A">
        <w:rPr>
          <w:rStyle w:val="sfbbfee58"/>
          <w:sz w:val="20"/>
          <w:szCs w:val="20"/>
        </w:rPr>
        <w:t xml:space="preserve"> [p. Bochan M. I.] o </w:t>
      </w:r>
      <w:r w:rsidRPr="00010F8A">
        <w:rPr>
          <w:rStyle w:val="sfbbfee58"/>
          <w:sz w:val="20"/>
          <w:szCs w:val="20"/>
        </w:rPr>
        <w:t>rewizję,</w:t>
      </w:r>
      <w:r w:rsidRPr="00CF069A">
        <w:rPr>
          <w:rStyle w:val="sfbbfee58"/>
          <w:sz w:val="20"/>
          <w:szCs w:val="20"/>
        </w:rPr>
        <w:t xml:space="preserve"> w świetle wyjątkowych okoliczności, wyroku z dnia 19 stycznia 2001</w:t>
      </w:r>
      <w:r>
        <w:rPr>
          <w:rStyle w:val="sfbbfee58"/>
          <w:sz w:val="20"/>
          <w:szCs w:val="20"/>
        </w:rPr>
        <w:t xml:space="preserve"> r. </w:t>
      </w:r>
      <w:r w:rsidRPr="00CF069A">
        <w:rPr>
          <w:rStyle w:val="sfbbfee58"/>
          <w:sz w:val="20"/>
          <w:szCs w:val="20"/>
        </w:rPr>
        <w:t>wydanego przez Czemerowiecki Sąd Miejski, Obwód Chmielnicki, decyzji z dnia 1 marca 2001 r</w:t>
      </w:r>
      <w:r>
        <w:rPr>
          <w:rStyle w:val="sfbbfee58"/>
          <w:sz w:val="20"/>
          <w:szCs w:val="20"/>
        </w:rPr>
        <w:t>.</w:t>
      </w:r>
      <w:r w:rsidRPr="00CF069A">
        <w:rPr>
          <w:rStyle w:val="sfbbfee58"/>
          <w:sz w:val="20"/>
          <w:szCs w:val="20"/>
        </w:rPr>
        <w:t xml:space="preserve"> Chmielnickiego Obwodowego Sądu Apelacyjnego oraz decyzji z dnia 22 sierpnia 2002 r. Sądu Najwyższego Ukrainy."</w:t>
      </w:r>
    </w:p>
    <w:p w:rsidR="001C1275" w:rsidRPr="001B5D7F" w:rsidRDefault="001C1275" w:rsidP="00C264C5">
      <w:pPr>
        <w:pStyle w:val="ECHRPara"/>
        <w:rPr>
          <w:lang w:eastAsia="fr-FR"/>
        </w:rPr>
      </w:pPr>
      <w:r w:rsidRPr="001B5D7F">
        <w:rPr>
          <w:lang w:eastAsia="fr-FR"/>
        </w:rPr>
        <w:fldChar w:fldCharType="begin"/>
      </w:r>
      <w:r w:rsidRPr="001B5D7F">
        <w:rPr>
          <w:lang w:eastAsia="fr-FR"/>
        </w:rPr>
        <w:instrText xml:space="preserve"> SEQ level0 \*arabic </w:instrText>
      </w:r>
      <w:r w:rsidRPr="001B5D7F">
        <w:rPr>
          <w:lang w:eastAsia="fr-FR"/>
        </w:rPr>
        <w:fldChar w:fldCharType="separate"/>
      </w:r>
      <w:r w:rsidRPr="001B5D7F">
        <w:rPr>
          <w:noProof/>
          <w:lang w:eastAsia="fr-FR"/>
        </w:rPr>
        <w:t>22</w:t>
      </w:r>
      <w:r w:rsidRPr="001B5D7F">
        <w:rPr>
          <w:lang w:eastAsia="fr-FR"/>
        </w:rPr>
        <w:fldChar w:fldCharType="end"/>
      </w:r>
      <w:r w:rsidRPr="001B5D7F">
        <w:rPr>
          <w:lang w:eastAsia="fr-FR"/>
        </w:rPr>
        <w:t>.  </w:t>
      </w:r>
      <w:r>
        <w:rPr>
          <w:rStyle w:val="sb8d990e2"/>
        </w:rPr>
        <w:t>W dniu 8 kwietnia 2008 r. skarżąca wniosła nowe "odwołanie w świetle wyjątkowych okoliczności" do Sądu Najwyższego. Skarżąca argumentowała, że decyzja z dnia 14 marca 2008 r. była oparta na nieprawidłowej "interpretacji" wyroku [Trybunału] z dnia 3 maja 2007 r. i poprosiła Sąd Najwyższy o ponowne rozpatrzenie sprawy w aspekcie merytorycznym w świetle ustaleń Trybunału na mocy art. 6 ust. 1 Konwencji w odniesieniu do rzeczonego wyroku w postaci wskazanej w paragrafie 15 powyżej.</w:t>
      </w:r>
    </w:p>
    <w:p w:rsidR="001C1275" w:rsidRPr="001B5D7F" w:rsidRDefault="001C1275" w:rsidP="00C264C5">
      <w:pPr>
        <w:pStyle w:val="ECHRPara"/>
        <w:rPr>
          <w:lang w:eastAsia="fr-FR"/>
        </w:rPr>
      </w:pPr>
      <w:r w:rsidRPr="001C1519">
        <w:rPr>
          <w:lang w:eastAsia="fr-FR"/>
        </w:rPr>
        <w:fldChar w:fldCharType="begin"/>
      </w:r>
      <w:r w:rsidRPr="001C1519">
        <w:rPr>
          <w:lang w:eastAsia="fr-FR"/>
        </w:rPr>
        <w:instrText xml:space="preserve"> SEQ level0 \*arabic </w:instrText>
      </w:r>
      <w:r w:rsidRPr="001C1519">
        <w:rPr>
          <w:lang w:eastAsia="fr-FR"/>
        </w:rPr>
        <w:fldChar w:fldCharType="separate"/>
      </w:r>
      <w:r w:rsidRPr="001C1519">
        <w:rPr>
          <w:noProof/>
          <w:lang w:eastAsia="fr-FR"/>
        </w:rPr>
        <w:t>23</w:t>
      </w:r>
      <w:r w:rsidRPr="001C1519">
        <w:rPr>
          <w:lang w:eastAsia="fr-FR"/>
        </w:rPr>
        <w:fldChar w:fldCharType="end"/>
      </w:r>
      <w:r w:rsidRPr="001C1519">
        <w:rPr>
          <w:lang w:eastAsia="fr-FR"/>
        </w:rPr>
        <w:t>.  </w:t>
      </w:r>
      <w:r>
        <w:rPr>
          <w:rStyle w:val="sb8d990e2"/>
        </w:rPr>
        <w:t>Dnia 5 czerwca 2008 r. panel siedmiu sędziów Wydziału Cywilnego Sądu Najwyższego, w oparciu o art. 356 Kodeksu postępowania cywilnego z 2004 r. uznał odwołanie za niedopuszczalne, ponieważ nie zawierało ono argumentów mogących uzasadnić rewizję sprawy w świetle wyjątkowych okoliczności zgodnie z art. 354 Kodeksu postępowania cywilnego z 2004 r. (tekst art. 354 oraz odpowiednie fragmenty art. 356 tego Kodeksu zob. paragraf 24 poniżej).</w:t>
      </w:r>
    </w:p>
    <w:p w:rsidR="001C1275" w:rsidRPr="001C1519" w:rsidRDefault="001C1275" w:rsidP="00014566">
      <w:pPr>
        <w:pStyle w:val="ECHRHeading1"/>
        <w:rPr>
          <w:lang w:val="pl-PL"/>
        </w:rPr>
      </w:pPr>
      <w:r w:rsidRPr="00983059">
        <w:rPr>
          <w:lang w:val="pl-PL"/>
        </w:rPr>
        <w:t>II.  WŁAŚCIWE PRAWO KRAJOWE</w:t>
      </w:r>
    </w:p>
    <w:p w:rsidR="001C1275" w:rsidRPr="001B5D7F" w:rsidRDefault="001C1275" w:rsidP="00B83FFA">
      <w:pPr>
        <w:pStyle w:val="ECHRHeading2"/>
        <w:rPr>
          <w:lang w:val="pl-PL" w:eastAsia="fr-FR"/>
        </w:rPr>
      </w:pPr>
      <w:r w:rsidRPr="001C1519">
        <w:rPr>
          <w:lang w:val="pl-PL" w:eastAsia="fr-FR"/>
        </w:rPr>
        <w:t>A.  </w:t>
      </w:r>
      <w:r w:rsidRPr="001C1519">
        <w:rPr>
          <w:rStyle w:val="s7d2086b4"/>
          <w:lang w:val="pl-PL"/>
        </w:rPr>
        <w:t>Kodeks postępowania cywilnego z 2004 r.</w:t>
      </w:r>
    </w:p>
    <w:p w:rsidR="001C1275" w:rsidRPr="001B5D7F" w:rsidRDefault="001C1275" w:rsidP="00C264C5">
      <w:pPr>
        <w:pStyle w:val="ECHRPara"/>
        <w:rPr>
          <w:lang w:eastAsia="fr-FR"/>
        </w:rPr>
      </w:pPr>
      <w:r w:rsidRPr="001C1519">
        <w:rPr>
          <w:lang w:eastAsia="fr-FR"/>
        </w:rPr>
        <w:fldChar w:fldCharType="begin"/>
      </w:r>
      <w:r w:rsidRPr="001C1519">
        <w:rPr>
          <w:lang w:eastAsia="fr-FR"/>
        </w:rPr>
        <w:instrText xml:space="preserve"> SEQ level0 \*arabic </w:instrText>
      </w:r>
      <w:r w:rsidRPr="001C1519">
        <w:rPr>
          <w:lang w:eastAsia="fr-FR"/>
        </w:rPr>
        <w:fldChar w:fldCharType="separate"/>
      </w:r>
      <w:r w:rsidRPr="001C1519">
        <w:rPr>
          <w:noProof/>
          <w:lang w:eastAsia="fr-FR"/>
        </w:rPr>
        <w:t>24</w:t>
      </w:r>
      <w:r w:rsidRPr="001C1519">
        <w:rPr>
          <w:lang w:eastAsia="fr-FR"/>
        </w:rPr>
        <w:fldChar w:fldCharType="end"/>
      </w:r>
      <w:r w:rsidRPr="001C1519">
        <w:rPr>
          <w:lang w:eastAsia="fr-FR"/>
        </w:rPr>
        <w:t>.  </w:t>
      </w:r>
      <w:r>
        <w:rPr>
          <w:rStyle w:val="sb8d990e2"/>
        </w:rPr>
        <w:t>Odpowiednie fragmenty z Kodeksu obowiązujące w tamtym czasie miały następujące brzmienie:</w:t>
      </w:r>
    </w:p>
    <w:p w:rsidR="001C1275" w:rsidRPr="00734205" w:rsidRDefault="001C1275" w:rsidP="00087E16">
      <w:pPr>
        <w:pStyle w:val="s19630bcc"/>
        <w:spacing w:before="120" w:beforeAutospacing="0" w:after="120" w:afterAutospacing="0"/>
        <w:ind w:left="440" w:firstLine="110"/>
        <w:jc w:val="center"/>
        <w:rPr>
          <w:b/>
          <w:bCs/>
          <w:sz w:val="20"/>
          <w:szCs w:val="20"/>
        </w:rPr>
      </w:pPr>
      <w:r w:rsidRPr="00734205">
        <w:rPr>
          <w:rStyle w:val="sdfc50a6a"/>
          <w:b/>
          <w:bCs/>
          <w:sz w:val="20"/>
          <w:szCs w:val="20"/>
        </w:rPr>
        <w:t>Art. 353</w:t>
      </w:r>
      <w:r>
        <w:rPr>
          <w:rStyle w:val="sdfc50a6a"/>
          <w:b/>
          <w:bCs/>
          <w:sz w:val="20"/>
          <w:szCs w:val="20"/>
        </w:rPr>
        <w:t>.</w:t>
      </w:r>
      <w:r w:rsidRPr="00734205">
        <w:rPr>
          <w:rStyle w:val="sdfc50a6a"/>
          <w:b/>
          <w:bCs/>
          <w:sz w:val="20"/>
          <w:szCs w:val="20"/>
        </w:rPr>
        <w:t xml:space="preserve"> Prawo do zaskarżania decyzji sądowych </w:t>
      </w:r>
      <w:r>
        <w:rPr>
          <w:rStyle w:val="sdfc50a6a"/>
          <w:b/>
          <w:bCs/>
          <w:sz w:val="20"/>
          <w:szCs w:val="20"/>
        </w:rPr>
        <w:br/>
      </w:r>
      <w:r w:rsidRPr="00734205">
        <w:rPr>
          <w:rStyle w:val="sdfc50a6a"/>
          <w:b/>
          <w:bCs/>
          <w:sz w:val="20"/>
          <w:szCs w:val="20"/>
        </w:rPr>
        <w:t>w świetle wyjątkowych okoliczności</w:t>
      </w:r>
    </w:p>
    <w:p w:rsidR="001C1275" w:rsidRPr="009F0211" w:rsidRDefault="001C1275" w:rsidP="00087E16">
      <w:pPr>
        <w:pStyle w:val="s9e9b0cd7"/>
        <w:spacing w:before="120" w:beforeAutospacing="0" w:after="120" w:afterAutospacing="0"/>
        <w:ind w:left="440" w:firstLine="110"/>
        <w:jc w:val="both"/>
        <w:rPr>
          <w:sz w:val="20"/>
          <w:szCs w:val="20"/>
        </w:rPr>
      </w:pPr>
      <w:r>
        <w:rPr>
          <w:rStyle w:val="sfbbfee58"/>
          <w:sz w:val="20"/>
          <w:szCs w:val="20"/>
        </w:rPr>
        <w:t>„</w:t>
      </w:r>
      <w:r w:rsidRPr="009F0211">
        <w:rPr>
          <w:rStyle w:val="sfbbfee58"/>
          <w:sz w:val="20"/>
          <w:szCs w:val="20"/>
        </w:rPr>
        <w:t xml:space="preserve">1. Strony postępowania ... mają prawo do </w:t>
      </w:r>
      <w:r>
        <w:rPr>
          <w:rStyle w:val="sfbbfee58"/>
          <w:sz w:val="20"/>
          <w:szCs w:val="20"/>
        </w:rPr>
        <w:t xml:space="preserve">zaskarżania do </w:t>
      </w:r>
      <w:r w:rsidRPr="009F0211">
        <w:rPr>
          <w:rStyle w:val="sfbbfee58"/>
          <w:sz w:val="20"/>
          <w:szCs w:val="20"/>
        </w:rPr>
        <w:t>Sąd</w:t>
      </w:r>
      <w:r>
        <w:rPr>
          <w:rStyle w:val="sfbbfee58"/>
          <w:sz w:val="20"/>
          <w:szCs w:val="20"/>
        </w:rPr>
        <w:t>u</w:t>
      </w:r>
      <w:r w:rsidRPr="009F0211">
        <w:rPr>
          <w:rStyle w:val="sfbbfee58"/>
          <w:sz w:val="20"/>
          <w:szCs w:val="20"/>
        </w:rPr>
        <w:t xml:space="preserve"> Najwyższ</w:t>
      </w:r>
      <w:r>
        <w:rPr>
          <w:rStyle w:val="sfbbfee58"/>
          <w:sz w:val="20"/>
          <w:szCs w:val="20"/>
        </w:rPr>
        <w:t>ego</w:t>
      </w:r>
      <w:r w:rsidRPr="009F0211">
        <w:rPr>
          <w:rStyle w:val="sfbbfee58"/>
          <w:sz w:val="20"/>
          <w:szCs w:val="20"/>
        </w:rPr>
        <w:t xml:space="preserve"> Ukrainy decyzji sądowych w sprawach cywilnych w świetle wyjątkowych okoliczności</w:t>
      </w:r>
      <w:r w:rsidRPr="00010F8A">
        <w:rPr>
          <w:rStyle w:val="sfbbfee58"/>
          <w:sz w:val="20"/>
          <w:szCs w:val="20"/>
        </w:rPr>
        <w:t>, po rozpatrzeniu [tych decyzji] w postępowaniu</w:t>
      </w:r>
      <w:r w:rsidRPr="009F0211">
        <w:rPr>
          <w:rStyle w:val="sfbbfee58"/>
          <w:sz w:val="20"/>
          <w:szCs w:val="20"/>
        </w:rPr>
        <w:t xml:space="preserve"> kasacyjnym."</w:t>
      </w:r>
    </w:p>
    <w:p w:rsidR="001C1275" w:rsidRPr="00734205" w:rsidRDefault="001C1275" w:rsidP="00E55FC5">
      <w:pPr>
        <w:pStyle w:val="s19630bcc"/>
        <w:spacing w:before="120" w:beforeAutospacing="0" w:after="120" w:afterAutospacing="0"/>
        <w:ind w:left="440" w:firstLine="110"/>
        <w:jc w:val="center"/>
        <w:rPr>
          <w:b/>
          <w:bCs/>
          <w:sz w:val="20"/>
          <w:szCs w:val="20"/>
        </w:rPr>
      </w:pPr>
      <w:r w:rsidRPr="00734205">
        <w:rPr>
          <w:rStyle w:val="sdfc50a6a"/>
          <w:b/>
          <w:bCs/>
          <w:sz w:val="20"/>
          <w:szCs w:val="20"/>
        </w:rPr>
        <w:t>Art. 354</w:t>
      </w:r>
      <w:r>
        <w:rPr>
          <w:rStyle w:val="sdfc50a6a"/>
          <w:b/>
          <w:bCs/>
          <w:sz w:val="20"/>
          <w:szCs w:val="20"/>
        </w:rPr>
        <w:t>.</w:t>
      </w:r>
      <w:r w:rsidRPr="00734205">
        <w:rPr>
          <w:rStyle w:val="sdfc50a6a"/>
          <w:b/>
          <w:bCs/>
          <w:sz w:val="20"/>
          <w:szCs w:val="20"/>
        </w:rPr>
        <w:t xml:space="preserve"> Podstawy odwołania w świetle wyjątkowych okoliczności</w:t>
      </w:r>
    </w:p>
    <w:p w:rsidR="001C1275" w:rsidRPr="009F0211" w:rsidRDefault="001C1275" w:rsidP="00E55FC5">
      <w:pPr>
        <w:pStyle w:val="s9e9b0cd7"/>
        <w:spacing w:before="120" w:beforeAutospacing="0" w:after="120" w:afterAutospacing="0"/>
        <w:ind w:left="440" w:firstLine="110"/>
        <w:jc w:val="both"/>
        <w:rPr>
          <w:sz w:val="20"/>
          <w:szCs w:val="20"/>
        </w:rPr>
      </w:pPr>
      <w:r>
        <w:rPr>
          <w:rStyle w:val="sfbbfee58"/>
          <w:sz w:val="20"/>
          <w:szCs w:val="20"/>
        </w:rPr>
        <w:t>„</w:t>
      </w:r>
      <w:r w:rsidRPr="009F0211">
        <w:rPr>
          <w:rStyle w:val="sfbbfee58"/>
          <w:sz w:val="20"/>
          <w:szCs w:val="20"/>
        </w:rPr>
        <w:t xml:space="preserve">1. </w:t>
      </w:r>
      <w:r>
        <w:rPr>
          <w:rStyle w:val="sfbbfee58"/>
          <w:sz w:val="20"/>
          <w:szCs w:val="20"/>
        </w:rPr>
        <w:t>Decyzje sądowe</w:t>
      </w:r>
      <w:r w:rsidRPr="009F0211">
        <w:rPr>
          <w:rStyle w:val="sfbbfee58"/>
          <w:sz w:val="20"/>
          <w:szCs w:val="20"/>
        </w:rPr>
        <w:t xml:space="preserve"> w sprawach cywilnych </w:t>
      </w:r>
      <w:r>
        <w:rPr>
          <w:rStyle w:val="sfbbfee58"/>
          <w:sz w:val="20"/>
          <w:szCs w:val="20"/>
        </w:rPr>
        <w:t xml:space="preserve">po rozpatrzeniu </w:t>
      </w:r>
      <w:r w:rsidRPr="009F0211">
        <w:rPr>
          <w:rStyle w:val="sfbbfee58"/>
          <w:sz w:val="20"/>
          <w:szCs w:val="20"/>
        </w:rPr>
        <w:t xml:space="preserve">w postępowaniu kasacyjnym mogą </w:t>
      </w:r>
      <w:r>
        <w:rPr>
          <w:rStyle w:val="sfbbfee58"/>
          <w:sz w:val="20"/>
          <w:szCs w:val="20"/>
        </w:rPr>
        <w:t xml:space="preserve">podlegać </w:t>
      </w:r>
      <w:r w:rsidRPr="00414ADB">
        <w:rPr>
          <w:rStyle w:val="sfbbfee58"/>
          <w:sz w:val="20"/>
          <w:szCs w:val="20"/>
        </w:rPr>
        <w:t>rewizji</w:t>
      </w:r>
      <w:r>
        <w:rPr>
          <w:rStyle w:val="sfbbfee58"/>
          <w:sz w:val="20"/>
          <w:szCs w:val="20"/>
        </w:rPr>
        <w:t xml:space="preserve"> </w:t>
      </w:r>
      <w:r w:rsidRPr="009F0211">
        <w:rPr>
          <w:rStyle w:val="sfbbfee58"/>
          <w:sz w:val="20"/>
          <w:szCs w:val="20"/>
        </w:rPr>
        <w:t>w świetle wyjątkowych okoliczności, jeżeli zostały zaskarżone na [następujących] podstawach:</w:t>
      </w:r>
    </w:p>
    <w:p w:rsidR="001C1275" w:rsidRPr="009F0211" w:rsidRDefault="001C1275" w:rsidP="00E55FC5">
      <w:pPr>
        <w:pStyle w:val="s9e9b0cd7"/>
        <w:spacing w:before="120" w:beforeAutospacing="0" w:after="120" w:afterAutospacing="0"/>
        <w:ind w:left="440" w:firstLine="110"/>
        <w:jc w:val="both"/>
        <w:rPr>
          <w:sz w:val="20"/>
          <w:szCs w:val="20"/>
        </w:rPr>
      </w:pPr>
      <w:r w:rsidRPr="009F0211">
        <w:rPr>
          <w:rStyle w:val="sfbbfee58"/>
          <w:sz w:val="20"/>
          <w:szCs w:val="20"/>
        </w:rPr>
        <w:t>(1) rozbieżne stosowanie przepisó</w:t>
      </w:r>
      <w:r>
        <w:rPr>
          <w:rStyle w:val="sfbbfee58"/>
          <w:sz w:val="20"/>
          <w:szCs w:val="20"/>
        </w:rPr>
        <w:t>w prawa przez sąd</w:t>
      </w:r>
      <w:r w:rsidRPr="009F0211">
        <w:rPr>
          <w:rStyle w:val="sfbbfee58"/>
          <w:sz w:val="20"/>
          <w:szCs w:val="20"/>
        </w:rPr>
        <w:t xml:space="preserve"> kasacyjny (lub sądy kasacyjne);</w:t>
      </w:r>
    </w:p>
    <w:p w:rsidR="001C1275" w:rsidRPr="009F0211" w:rsidRDefault="001C1275" w:rsidP="00E55FC5">
      <w:pPr>
        <w:pStyle w:val="s9e9b0cd7"/>
        <w:spacing w:before="120" w:beforeAutospacing="0" w:after="120" w:afterAutospacing="0"/>
        <w:ind w:left="440" w:firstLine="110"/>
        <w:jc w:val="both"/>
        <w:rPr>
          <w:sz w:val="20"/>
          <w:szCs w:val="20"/>
        </w:rPr>
      </w:pPr>
      <w:r w:rsidRPr="009F0211">
        <w:rPr>
          <w:rStyle w:val="sfbbfee58"/>
          <w:sz w:val="20"/>
          <w:szCs w:val="20"/>
        </w:rPr>
        <w:t xml:space="preserve">(2) </w:t>
      </w:r>
      <w:r>
        <w:rPr>
          <w:rStyle w:val="sfbbfee58"/>
          <w:sz w:val="20"/>
          <w:szCs w:val="20"/>
        </w:rPr>
        <w:t>stwierdzenie</w:t>
      </w:r>
      <w:r w:rsidRPr="009F0211">
        <w:rPr>
          <w:rStyle w:val="sfbbfee58"/>
          <w:sz w:val="20"/>
          <w:szCs w:val="20"/>
        </w:rPr>
        <w:t xml:space="preserve"> przez międzynarodowe organy sądowe o właściwości uznawanej na Ukrainie, że [krajowa] decyzja sądowa narusza międzynarodowe zobowiązania Ukrainy."</w:t>
      </w:r>
    </w:p>
    <w:p w:rsidR="001C1275" w:rsidRPr="00734205" w:rsidRDefault="001C1275" w:rsidP="00E55FC5">
      <w:pPr>
        <w:pStyle w:val="s19630bcc"/>
        <w:spacing w:before="120" w:beforeAutospacing="0" w:after="120" w:afterAutospacing="0"/>
        <w:ind w:left="440" w:firstLine="110"/>
        <w:jc w:val="center"/>
        <w:rPr>
          <w:b/>
          <w:bCs/>
          <w:sz w:val="20"/>
          <w:szCs w:val="20"/>
        </w:rPr>
      </w:pPr>
      <w:r w:rsidRPr="00734205">
        <w:rPr>
          <w:rStyle w:val="sdfc50a6a"/>
          <w:b/>
          <w:bCs/>
          <w:sz w:val="20"/>
          <w:szCs w:val="20"/>
        </w:rPr>
        <w:t>Art. 355 Wniesienie odwołania w świetle wyjątkowych okoliczności</w:t>
      </w:r>
    </w:p>
    <w:p w:rsidR="001C1275" w:rsidRPr="009F0211" w:rsidRDefault="001C1275" w:rsidP="00E55FC5">
      <w:pPr>
        <w:pStyle w:val="s9e9b0cd7"/>
        <w:spacing w:before="120" w:beforeAutospacing="0" w:after="120" w:afterAutospacing="0"/>
        <w:ind w:left="440" w:firstLine="110"/>
        <w:jc w:val="both"/>
        <w:rPr>
          <w:sz w:val="20"/>
          <w:szCs w:val="20"/>
        </w:rPr>
      </w:pPr>
      <w:r>
        <w:rPr>
          <w:rStyle w:val="sfbbfee58"/>
          <w:sz w:val="20"/>
          <w:szCs w:val="20"/>
        </w:rPr>
        <w:t>„</w:t>
      </w:r>
      <w:r w:rsidRPr="009F0211">
        <w:rPr>
          <w:rStyle w:val="sfbbfee58"/>
          <w:sz w:val="20"/>
          <w:szCs w:val="20"/>
        </w:rPr>
        <w:t>1. Odwołanie może zostać wniesione w terminie jednego miesiąca od odkrycia wyjątkowych okoliczności.</w:t>
      </w:r>
    </w:p>
    <w:p w:rsidR="001C1275" w:rsidRPr="009F0211" w:rsidRDefault="001C1275" w:rsidP="00E55FC5">
      <w:pPr>
        <w:pStyle w:val="s9e9b0cd7"/>
        <w:spacing w:before="120" w:beforeAutospacing="0" w:after="120" w:afterAutospacing="0"/>
        <w:ind w:left="440" w:firstLine="110"/>
        <w:jc w:val="both"/>
        <w:rPr>
          <w:sz w:val="20"/>
          <w:szCs w:val="20"/>
        </w:rPr>
      </w:pPr>
      <w:r w:rsidRPr="009F0211">
        <w:rPr>
          <w:rStyle w:val="sfbbfee58"/>
          <w:sz w:val="20"/>
          <w:szCs w:val="20"/>
        </w:rPr>
        <w:t>2. Odwołanie w świetle wyjątkowych okoliczności powinno być wniesione zgodnie z zasadami obowiązującymi w odniesieniu do skarg kasacyjnych.</w:t>
      </w:r>
    </w:p>
    <w:p w:rsidR="001C1275" w:rsidRPr="009F0211" w:rsidRDefault="001C1275" w:rsidP="00E55FC5">
      <w:pPr>
        <w:pStyle w:val="s9e9b0cd7"/>
        <w:spacing w:before="120" w:beforeAutospacing="0" w:after="120" w:afterAutospacing="0"/>
        <w:ind w:left="440" w:firstLine="110"/>
        <w:rPr>
          <w:sz w:val="20"/>
          <w:szCs w:val="20"/>
        </w:rPr>
      </w:pPr>
      <w:r w:rsidRPr="009F0211">
        <w:rPr>
          <w:rStyle w:val="sfbbfee58"/>
          <w:sz w:val="20"/>
          <w:szCs w:val="20"/>
        </w:rPr>
        <w:t>...”</w:t>
      </w:r>
    </w:p>
    <w:p w:rsidR="001C1275" w:rsidRPr="00734205" w:rsidRDefault="001C1275" w:rsidP="00E55FC5">
      <w:pPr>
        <w:pStyle w:val="s19630bcc"/>
        <w:spacing w:before="120" w:beforeAutospacing="0" w:after="120" w:afterAutospacing="0"/>
        <w:ind w:left="440" w:firstLine="110"/>
        <w:jc w:val="center"/>
        <w:rPr>
          <w:b/>
          <w:bCs/>
          <w:sz w:val="20"/>
          <w:szCs w:val="20"/>
        </w:rPr>
      </w:pPr>
      <w:r w:rsidRPr="00734205">
        <w:rPr>
          <w:rStyle w:val="sdfc50a6a"/>
          <w:b/>
          <w:bCs/>
          <w:sz w:val="20"/>
          <w:szCs w:val="20"/>
        </w:rPr>
        <w:t>Art. 356</w:t>
      </w:r>
      <w:r>
        <w:rPr>
          <w:rStyle w:val="sdfc50a6a"/>
          <w:b/>
          <w:bCs/>
          <w:sz w:val="20"/>
          <w:szCs w:val="20"/>
        </w:rPr>
        <w:t>.</w:t>
      </w:r>
      <w:r w:rsidRPr="00734205">
        <w:rPr>
          <w:rStyle w:val="sdfc50a6a"/>
          <w:b/>
          <w:bCs/>
          <w:sz w:val="20"/>
          <w:szCs w:val="20"/>
        </w:rPr>
        <w:t xml:space="preserve"> Dopuszczalność odwołania w świetle wyjątkowych okoliczności</w:t>
      </w:r>
    </w:p>
    <w:p w:rsidR="001C1275" w:rsidRPr="009F0211" w:rsidRDefault="001C1275" w:rsidP="00E55FC5">
      <w:pPr>
        <w:pStyle w:val="s9e9b0cd7"/>
        <w:spacing w:before="120" w:beforeAutospacing="0" w:after="120" w:afterAutospacing="0"/>
        <w:ind w:left="440" w:firstLine="110"/>
        <w:jc w:val="both"/>
        <w:rPr>
          <w:sz w:val="20"/>
          <w:szCs w:val="20"/>
        </w:rPr>
      </w:pPr>
      <w:r>
        <w:rPr>
          <w:rStyle w:val="sfbbfee58"/>
          <w:sz w:val="20"/>
          <w:szCs w:val="20"/>
        </w:rPr>
        <w:t>„</w:t>
      </w:r>
      <w:r w:rsidRPr="009F0211">
        <w:rPr>
          <w:rStyle w:val="sfbbfee58"/>
          <w:sz w:val="20"/>
          <w:szCs w:val="20"/>
        </w:rPr>
        <w:t>1. Kwestię dopuszczalności odwołania w świetle wyjątkowych okoliczności... rozstrzyga się w izbach decyzją panelu złożonego z siedmiu sędziów ...</w:t>
      </w:r>
    </w:p>
    <w:p w:rsidR="001C1275" w:rsidRPr="009F0211" w:rsidRDefault="001C1275" w:rsidP="00E55FC5">
      <w:pPr>
        <w:pStyle w:val="s9e9b0cd7"/>
        <w:spacing w:before="120" w:beforeAutospacing="0" w:after="120" w:afterAutospacing="0"/>
        <w:ind w:left="440" w:firstLine="110"/>
        <w:jc w:val="both"/>
        <w:rPr>
          <w:sz w:val="20"/>
          <w:szCs w:val="20"/>
        </w:rPr>
      </w:pPr>
      <w:r w:rsidRPr="009F0211">
        <w:rPr>
          <w:rStyle w:val="sfbbfee58"/>
          <w:sz w:val="20"/>
          <w:szCs w:val="20"/>
        </w:rPr>
        <w:t>2. Odwołanie uznaje się za dopuszczalne ... jeżeli uzna tak co najmniej trzech sędziów ...</w:t>
      </w:r>
    </w:p>
    <w:p w:rsidR="001C1275" w:rsidRPr="009F0211" w:rsidRDefault="001C1275" w:rsidP="00E55FC5">
      <w:pPr>
        <w:pStyle w:val="s9e9b0cd7"/>
        <w:spacing w:before="120" w:beforeAutospacing="0" w:after="120" w:afterAutospacing="0"/>
        <w:ind w:left="440" w:firstLine="110"/>
        <w:jc w:val="both"/>
        <w:rPr>
          <w:sz w:val="20"/>
          <w:szCs w:val="20"/>
        </w:rPr>
      </w:pPr>
      <w:r w:rsidRPr="009F0211">
        <w:rPr>
          <w:rStyle w:val="sfbbfee58"/>
          <w:sz w:val="20"/>
          <w:szCs w:val="20"/>
        </w:rPr>
        <w:t>3. Decyzja w sprawie dopuszczalności odwołania ... nie podlega zaskarżeniu ...</w:t>
      </w:r>
    </w:p>
    <w:p w:rsidR="001C1275" w:rsidRPr="009F0211" w:rsidRDefault="001C1275" w:rsidP="00E55FC5">
      <w:pPr>
        <w:pStyle w:val="s9e9b0cd7"/>
        <w:spacing w:before="120" w:beforeAutospacing="0" w:after="120" w:afterAutospacing="0"/>
        <w:ind w:left="440" w:firstLine="110"/>
        <w:jc w:val="both"/>
        <w:rPr>
          <w:sz w:val="20"/>
          <w:szCs w:val="20"/>
        </w:rPr>
      </w:pPr>
      <w:r w:rsidRPr="009F0211">
        <w:rPr>
          <w:rStyle w:val="sfbbfee58"/>
          <w:sz w:val="20"/>
          <w:szCs w:val="20"/>
        </w:rPr>
        <w:t>4. Kopię decyzji uznającej odwołanie za dopuszczalne ... wysyła się stronom ...</w:t>
      </w:r>
    </w:p>
    <w:p w:rsidR="001C1275" w:rsidRPr="009F0211" w:rsidRDefault="001C1275" w:rsidP="00E55FC5">
      <w:pPr>
        <w:pStyle w:val="s9e9b0cd7"/>
        <w:spacing w:before="120" w:beforeAutospacing="0" w:after="120" w:afterAutospacing="0"/>
        <w:ind w:left="440" w:firstLine="110"/>
        <w:jc w:val="both"/>
        <w:rPr>
          <w:sz w:val="20"/>
          <w:szCs w:val="20"/>
        </w:rPr>
      </w:pPr>
      <w:r w:rsidRPr="009F0211">
        <w:rPr>
          <w:rStyle w:val="sfbbfee58"/>
          <w:sz w:val="20"/>
          <w:szCs w:val="20"/>
        </w:rPr>
        <w:t>5. Jeżeli odwołanie zostało uznane za dopuszczalne ... sąd może zawiesić wykonanie odnośnych decyzji.</w:t>
      </w:r>
    </w:p>
    <w:p w:rsidR="001C1275" w:rsidRPr="009F0211" w:rsidRDefault="001C1275" w:rsidP="00E55FC5">
      <w:pPr>
        <w:pStyle w:val="s9e9b0cd7"/>
        <w:spacing w:before="120" w:beforeAutospacing="0" w:after="120" w:afterAutospacing="0"/>
        <w:ind w:left="440" w:firstLine="110"/>
        <w:jc w:val="both"/>
        <w:rPr>
          <w:sz w:val="20"/>
          <w:szCs w:val="20"/>
        </w:rPr>
      </w:pPr>
      <w:r w:rsidRPr="009F0211">
        <w:rPr>
          <w:rStyle w:val="sfbbfee58"/>
          <w:sz w:val="20"/>
          <w:szCs w:val="20"/>
        </w:rPr>
        <w:t>6. Zasady określone w paragrafach 1-4 niniejszego artykułu nie obowiązują w odniesieniu do odwołania wniesionego na podstawach przewidzianych w paragrafie 2 art. 354 niniejszego Kodeksu."</w:t>
      </w:r>
    </w:p>
    <w:p w:rsidR="001C1275" w:rsidRPr="00734205" w:rsidRDefault="001C1275" w:rsidP="00E55FC5">
      <w:pPr>
        <w:pStyle w:val="s19630bcc"/>
        <w:spacing w:before="120" w:beforeAutospacing="0" w:after="120" w:afterAutospacing="0"/>
        <w:ind w:left="440" w:firstLine="110"/>
        <w:jc w:val="center"/>
        <w:rPr>
          <w:b/>
          <w:bCs/>
          <w:sz w:val="20"/>
          <w:szCs w:val="20"/>
        </w:rPr>
      </w:pPr>
      <w:r w:rsidRPr="00734205">
        <w:rPr>
          <w:rStyle w:val="sdfc50a6a"/>
          <w:b/>
          <w:bCs/>
          <w:sz w:val="20"/>
          <w:szCs w:val="20"/>
        </w:rPr>
        <w:t>Art. 357</w:t>
      </w:r>
      <w:r>
        <w:rPr>
          <w:rStyle w:val="sdfc50a6a"/>
          <w:b/>
          <w:bCs/>
          <w:sz w:val="20"/>
          <w:szCs w:val="20"/>
        </w:rPr>
        <w:t>.</w:t>
      </w:r>
      <w:r w:rsidRPr="00734205">
        <w:rPr>
          <w:rStyle w:val="sdfc50a6a"/>
          <w:b/>
          <w:bCs/>
          <w:sz w:val="20"/>
          <w:szCs w:val="20"/>
        </w:rPr>
        <w:t xml:space="preserve"> Procedura rozpatrywania sprawy w świetle wyjątkowych okoliczności</w:t>
      </w:r>
    </w:p>
    <w:p w:rsidR="001C1275" w:rsidRPr="009F0211" w:rsidRDefault="001C1275" w:rsidP="00E55FC5">
      <w:pPr>
        <w:pStyle w:val="s9e9b0cd7"/>
        <w:spacing w:before="120" w:beforeAutospacing="0" w:after="120" w:afterAutospacing="0"/>
        <w:ind w:left="440" w:firstLine="110"/>
        <w:jc w:val="both"/>
        <w:rPr>
          <w:sz w:val="20"/>
          <w:szCs w:val="20"/>
        </w:rPr>
      </w:pPr>
      <w:r>
        <w:rPr>
          <w:rStyle w:val="sfbbfee58"/>
          <w:sz w:val="20"/>
          <w:szCs w:val="20"/>
        </w:rPr>
        <w:t>„</w:t>
      </w:r>
      <w:r w:rsidRPr="009F0211">
        <w:rPr>
          <w:rStyle w:val="sfbbfee58"/>
          <w:sz w:val="20"/>
          <w:szCs w:val="20"/>
        </w:rPr>
        <w:t>1. Procedura rozpatrywania sprawy w świetle wyjątkowych okoliczności jest rodzajem procedury kasacyjnej (</w:t>
      </w:r>
      <w:r w:rsidRPr="00095C90">
        <w:rPr>
          <w:rStyle w:val="s1a844bc0"/>
          <w:i/>
          <w:iCs/>
          <w:sz w:val="20"/>
          <w:szCs w:val="20"/>
        </w:rPr>
        <w:t>різновидом касаційного провадження</w:t>
      </w:r>
      <w:r w:rsidRPr="009F0211">
        <w:rPr>
          <w:rStyle w:val="sfbbfee58"/>
          <w:sz w:val="20"/>
          <w:szCs w:val="20"/>
        </w:rPr>
        <w:t>).</w:t>
      </w:r>
    </w:p>
    <w:p w:rsidR="001C1275" w:rsidRPr="009F0211" w:rsidRDefault="001C1275" w:rsidP="00E55FC5">
      <w:pPr>
        <w:pStyle w:val="s9e9b0cd7"/>
        <w:spacing w:before="120" w:beforeAutospacing="0" w:after="120" w:afterAutospacing="0"/>
        <w:ind w:left="440" w:firstLine="110"/>
        <w:jc w:val="both"/>
        <w:rPr>
          <w:sz w:val="20"/>
          <w:szCs w:val="20"/>
        </w:rPr>
      </w:pPr>
      <w:r w:rsidRPr="009F0211">
        <w:rPr>
          <w:rStyle w:val="sfbbfee58"/>
          <w:sz w:val="20"/>
          <w:szCs w:val="20"/>
        </w:rPr>
        <w:t>2. Sprawę rozpatruje panel sędziowski, w którego skład wchodzą co najmniej dwie trzecie członków Wydziału Cywilnego Najwyższego Sądu Ukrainy ...</w:t>
      </w:r>
    </w:p>
    <w:p w:rsidR="001C1275" w:rsidRPr="009F0211" w:rsidRDefault="001C1275" w:rsidP="00E55FC5">
      <w:pPr>
        <w:pStyle w:val="s9e9b0cd7"/>
        <w:spacing w:before="120" w:beforeAutospacing="0" w:after="120" w:afterAutospacing="0"/>
        <w:ind w:left="440" w:firstLine="110"/>
        <w:jc w:val="both"/>
        <w:rPr>
          <w:sz w:val="20"/>
          <w:szCs w:val="20"/>
        </w:rPr>
      </w:pPr>
      <w:r w:rsidRPr="009F0211">
        <w:rPr>
          <w:rStyle w:val="sfbbfee58"/>
          <w:sz w:val="20"/>
          <w:szCs w:val="20"/>
        </w:rPr>
        <w:t>4. Sprawę w świetle wyjątkowych okoliczności rozpatruje się zgodnie z zasadami obowiązującymi w postępowaniu kasacyjnym."</w:t>
      </w:r>
    </w:p>
    <w:p w:rsidR="001C1275" w:rsidRPr="00734205" w:rsidRDefault="001C1275" w:rsidP="00E55FC5">
      <w:pPr>
        <w:pStyle w:val="s19630bcc"/>
        <w:spacing w:before="120" w:beforeAutospacing="0" w:after="120" w:afterAutospacing="0"/>
        <w:ind w:left="440" w:firstLine="110"/>
        <w:jc w:val="center"/>
        <w:rPr>
          <w:b/>
          <w:bCs/>
          <w:sz w:val="20"/>
          <w:szCs w:val="20"/>
        </w:rPr>
      </w:pPr>
      <w:r w:rsidRPr="00734205">
        <w:rPr>
          <w:rStyle w:val="sdfc50a6a"/>
          <w:b/>
          <w:bCs/>
          <w:sz w:val="20"/>
          <w:szCs w:val="20"/>
        </w:rPr>
        <w:t>Art. 358</w:t>
      </w:r>
      <w:r>
        <w:rPr>
          <w:rStyle w:val="sdfc50a6a"/>
          <w:b/>
          <w:bCs/>
          <w:sz w:val="20"/>
          <w:szCs w:val="20"/>
        </w:rPr>
        <w:t>.</w:t>
      </w:r>
      <w:r w:rsidRPr="00734205">
        <w:rPr>
          <w:rStyle w:val="sdfc50a6a"/>
          <w:b/>
          <w:bCs/>
          <w:sz w:val="20"/>
          <w:szCs w:val="20"/>
        </w:rPr>
        <w:t xml:space="preserve"> Kompetencje Sądu Najwyższego Ukrainy w rozpatrywaniu spraw w świetle wyjątkowych okoliczności</w:t>
      </w:r>
    </w:p>
    <w:p w:rsidR="001C1275" w:rsidRPr="009F0211" w:rsidRDefault="001C1275" w:rsidP="00E55FC5">
      <w:pPr>
        <w:pStyle w:val="s9e9b0cd7"/>
        <w:spacing w:before="120" w:beforeAutospacing="0" w:after="120" w:afterAutospacing="0"/>
        <w:ind w:left="440" w:firstLine="110"/>
        <w:jc w:val="both"/>
        <w:rPr>
          <w:sz w:val="20"/>
          <w:szCs w:val="20"/>
        </w:rPr>
      </w:pPr>
      <w:r>
        <w:rPr>
          <w:rStyle w:val="sfbbfee58"/>
          <w:sz w:val="20"/>
          <w:szCs w:val="20"/>
        </w:rPr>
        <w:t>„</w:t>
      </w:r>
      <w:r w:rsidRPr="009F0211">
        <w:rPr>
          <w:rStyle w:val="sfbbfee58"/>
          <w:sz w:val="20"/>
          <w:szCs w:val="20"/>
        </w:rPr>
        <w:t>1. Rozpatrując sprawę w świetle wyjątkowych okoliczności Sąd Najwyższy Ukrainy ma następujące k</w:t>
      </w:r>
      <w:r w:rsidRPr="009F0211">
        <w:rPr>
          <w:rStyle w:val="sdfc50a6a"/>
          <w:sz w:val="20"/>
          <w:szCs w:val="20"/>
        </w:rPr>
        <w:t>ompetencje</w:t>
      </w:r>
      <w:r w:rsidRPr="009F0211">
        <w:rPr>
          <w:rStyle w:val="sfbbfee58"/>
          <w:sz w:val="20"/>
          <w:szCs w:val="20"/>
        </w:rPr>
        <w:t>:</w:t>
      </w:r>
    </w:p>
    <w:p w:rsidR="001C1275" w:rsidRPr="009F0211" w:rsidRDefault="001C1275" w:rsidP="00E55FC5">
      <w:pPr>
        <w:pStyle w:val="s9e9b0cd7"/>
        <w:spacing w:before="120" w:beforeAutospacing="0" w:after="120" w:afterAutospacing="0"/>
        <w:ind w:left="440" w:firstLine="110"/>
        <w:jc w:val="both"/>
        <w:rPr>
          <w:sz w:val="20"/>
          <w:szCs w:val="20"/>
        </w:rPr>
      </w:pPr>
      <w:r w:rsidRPr="009F0211">
        <w:rPr>
          <w:rStyle w:val="sfbbfee58"/>
          <w:sz w:val="20"/>
          <w:szCs w:val="20"/>
        </w:rPr>
        <w:t>(1) od</w:t>
      </w:r>
      <w:r>
        <w:rPr>
          <w:rStyle w:val="sfbbfee58"/>
          <w:sz w:val="20"/>
          <w:szCs w:val="20"/>
        </w:rPr>
        <w:t>dalenia</w:t>
      </w:r>
      <w:r w:rsidRPr="009F0211">
        <w:rPr>
          <w:rStyle w:val="sfbbfee58"/>
          <w:sz w:val="20"/>
          <w:szCs w:val="20"/>
        </w:rPr>
        <w:t xml:space="preserve"> apelacji i pozostawienie decyzji bez zmian ...</w:t>
      </w:r>
    </w:p>
    <w:p w:rsidR="001C1275" w:rsidRPr="009F0211" w:rsidRDefault="001C1275" w:rsidP="00E55FC5">
      <w:pPr>
        <w:pStyle w:val="s9e9b0cd7"/>
        <w:spacing w:before="120" w:beforeAutospacing="0" w:after="120" w:afterAutospacing="0"/>
        <w:ind w:left="440" w:firstLine="110"/>
        <w:jc w:val="both"/>
        <w:rPr>
          <w:sz w:val="20"/>
          <w:szCs w:val="20"/>
        </w:rPr>
      </w:pPr>
      <w:r w:rsidRPr="009F0211">
        <w:rPr>
          <w:rStyle w:val="sfbbfee58"/>
          <w:sz w:val="20"/>
          <w:szCs w:val="20"/>
        </w:rPr>
        <w:t>(2) uchylenie, w całości lub w części, decyzji sądowej, i przekazanie sprawy do ponownego rozpoznania przez sąd pierwszej instancji, sąd apelacyjny lub sąd kasacyjny ...</w:t>
      </w:r>
    </w:p>
    <w:p w:rsidR="001C1275" w:rsidRPr="009F0211" w:rsidRDefault="001C1275" w:rsidP="00E55FC5">
      <w:pPr>
        <w:pStyle w:val="s9e9b0cd7"/>
        <w:spacing w:before="120" w:beforeAutospacing="0" w:after="120" w:afterAutospacing="0"/>
        <w:ind w:left="440" w:firstLine="110"/>
        <w:jc w:val="both"/>
        <w:rPr>
          <w:sz w:val="20"/>
          <w:szCs w:val="20"/>
        </w:rPr>
      </w:pPr>
      <w:r w:rsidRPr="009F0211">
        <w:rPr>
          <w:rStyle w:val="sfbbfee58"/>
          <w:sz w:val="20"/>
          <w:szCs w:val="20"/>
        </w:rPr>
        <w:t>(3) uchylenie decyzji sądu apelacyjnego lub kasacyjnego oraz podtrzymanie błędnie uchylonej decyzji ...</w:t>
      </w:r>
    </w:p>
    <w:p w:rsidR="001C1275" w:rsidRPr="009F0211" w:rsidRDefault="001C1275" w:rsidP="00E55FC5">
      <w:pPr>
        <w:pStyle w:val="s9e9b0cd7"/>
        <w:spacing w:before="120" w:beforeAutospacing="0" w:after="120" w:afterAutospacing="0"/>
        <w:ind w:left="440" w:firstLine="110"/>
        <w:jc w:val="both"/>
        <w:rPr>
          <w:sz w:val="20"/>
          <w:szCs w:val="20"/>
        </w:rPr>
      </w:pPr>
      <w:r w:rsidRPr="009F0211">
        <w:rPr>
          <w:rStyle w:val="sfbbfee58"/>
          <w:sz w:val="20"/>
          <w:szCs w:val="20"/>
        </w:rPr>
        <w:t>(4) uchylenie decyzji w sprawie i umorzenie postępowania ...</w:t>
      </w:r>
    </w:p>
    <w:p w:rsidR="001C1275" w:rsidRPr="009F0211" w:rsidRDefault="001C1275" w:rsidP="00E55FC5">
      <w:pPr>
        <w:pStyle w:val="s9e9b0cd7"/>
        <w:spacing w:before="120" w:beforeAutospacing="0" w:after="120" w:afterAutospacing="0"/>
        <w:ind w:left="440" w:firstLine="110"/>
        <w:jc w:val="both"/>
        <w:rPr>
          <w:sz w:val="20"/>
          <w:szCs w:val="20"/>
        </w:rPr>
      </w:pPr>
      <w:r w:rsidRPr="009F0211">
        <w:rPr>
          <w:rStyle w:val="sfbbfee58"/>
          <w:sz w:val="20"/>
          <w:szCs w:val="20"/>
        </w:rPr>
        <w:t>(5) zmiana decyzji lub podjęcie nowej decyzji w aspekcie merytorycznym w sprawie ..."</w:t>
      </w:r>
    </w:p>
    <w:p w:rsidR="001C1275" w:rsidRPr="00734205" w:rsidRDefault="001C1275" w:rsidP="00E55FC5">
      <w:pPr>
        <w:pStyle w:val="s19630bcc"/>
        <w:spacing w:before="120" w:beforeAutospacing="0" w:after="120" w:afterAutospacing="0"/>
        <w:ind w:left="440" w:firstLine="110"/>
        <w:jc w:val="center"/>
        <w:rPr>
          <w:b/>
          <w:bCs/>
          <w:sz w:val="20"/>
          <w:szCs w:val="20"/>
        </w:rPr>
      </w:pPr>
      <w:r w:rsidRPr="00734205">
        <w:rPr>
          <w:rStyle w:val="sdfc50a6a"/>
          <w:b/>
          <w:bCs/>
          <w:sz w:val="20"/>
          <w:szCs w:val="20"/>
        </w:rPr>
        <w:t>Art. 360</w:t>
      </w:r>
      <w:r>
        <w:rPr>
          <w:rStyle w:val="sdfc50a6a"/>
          <w:b/>
          <w:bCs/>
          <w:sz w:val="20"/>
          <w:szCs w:val="20"/>
        </w:rPr>
        <w:t>.</w:t>
      </w:r>
      <w:r w:rsidRPr="00734205">
        <w:rPr>
          <w:rStyle w:val="sdfc50a6a"/>
          <w:b/>
          <w:bCs/>
          <w:sz w:val="20"/>
          <w:szCs w:val="20"/>
        </w:rPr>
        <w:t xml:space="preserve"> Prawomocność decyzji Sądu Najwyższego</w:t>
      </w:r>
    </w:p>
    <w:p w:rsidR="001C1275" w:rsidRPr="009F0211" w:rsidRDefault="001C1275" w:rsidP="00E55FC5">
      <w:pPr>
        <w:pStyle w:val="s9e9b0cd7"/>
        <w:spacing w:before="120" w:beforeAutospacing="0" w:after="120" w:afterAutospacing="0"/>
        <w:ind w:left="440" w:firstLine="110"/>
        <w:jc w:val="both"/>
        <w:rPr>
          <w:sz w:val="20"/>
          <w:szCs w:val="20"/>
        </w:rPr>
      </w:pPr>
      <w:r>
        <w:rPr>
          <w:rStyle w:val="sfbbfee58"/>
          <w:sz w:val="20"/>
          <w:szCs w:val="20"/>
        </w:rPr>
        <w:t>„</w:t>
      </w:r>
      <w:r w:rsidRPr="009F0211">
        <w:rPr>
          <w:rStyle w:val="sfbbfee58"/>
          <w:sz w:val="20"/>
          <w:szCs w:val="20"/>
        </w:rPr>
        <w:t>1. Decyzje podjęte przez Sąd Najwyższy Ukrainy w świetle wyjątkowych okoliczności mają moc prawną od chwili wydania i nie podlegają zaskarżeniu."</w:t>
      </w:r>
    </w:p>
    <w:p w:rsidR="001C1275" w:rsidRPr="00AE6FFF" w:rsidRDefault="001C1275" w:rsidP="002C3F8E">
      <w:pPr>
        <w:pStyle w:val="ECHRHeading2"/>
        <w:rPr>
          <w:lang w:val="pl-PL" w:eastAsia="fr-FR"/>
        </w:rPr>
      </w:pPr>
      <w:r w:rsidRPr="001C1519">
        <w:rPr>
          <w:lang w:val="pl-PL" w:eastAsia="fr-FR"/>
        </w:rPr>
        <w:t>B.  </w:t>
      </w:r>
      <w:r w:rsidRPr="001C1519">
        <w:rPr>
          <w:rStyle w:val="s7d2086b4"/>
          <w:lang w:val="pl-PL"/>
        </w:rPr>
        <w:t>Ustawa z dnia 23 lutego 2006 r.</w:t>
      </w:r>
      <w:r>
        <w:rPr>
          <w:rStyle w:val="s7d2086b4"/>
          <w:lang w:val="pl-PL"/>
        </w:rPr>
        <w:t xml:space="preserve"> </w:t>
      </w:r>
      <w:r w:rsidRPr="001C1519">
        <w:rPr>
          <w:rStyle w:val="s7d2086b4"/>
          <w:lang w:val="pl-PL"/>
        </w:rPr>
        <w:t xml:space="preserve">o wykonywaniu wyroków i stosowaniu orzecznictwa Europejskiego Trybunału Praw Człowieka </w:t>
      </w:r>
    </w:p>
    <w:p w:rsidR="001C1275" w:rsidRPr="00AE6FFF" w:rsidRDefault="001C1275" w:rsidP="00C264C5">
      <w:pPr>
        <w:pStyle w:val="ECHRPara"/>
        <w:rPr>
          <w:lang w:eastAsia="fr-FR"/>
        </w:rPr>
      </w:pPr>
      <w:r w:rsidRPr="001C1519">
        <w:rPr>
          <w:lang w:eastAsia="fr-FR"/>
        </w:rPr>
        <w:fldChar w:fldCharType="begin"/>
      </w:r>
      <w:r w:rsidRPr="001C1519">
        <w:rPr>
          <w:lang w:eastAsia="fr-FR"/>
        </w:rPr>
        <w:instrText xml:space="preserve"> SEQ level0 \*arabic </w:instrText>
      </w:r>
      <w:r w:rsidRPr="001C1519">
        <w:rPr>
          <w:lang w:eastAsia="fr-FR"/>
        </w:rPr>
        <w:fldChar w:fldCharType="separate"/>
      </w:r>
      <w:r w:rsidRPr="001C1519">
        <w:rPr>
          <w:noProof/>
          <w:lang w:eastAsia="fr-FR"/>
        </w:rPr>
        <w:t>25</w:t>
      </w:r>
      <w:r w:rsidRPr="001C1519">
        <w:rPr>
          <w:lang w:eastAsia="fr-FR"/>
        </w:rPr>
        <w:fldChar w:fldCharType="end"/>
      </w:r>
      <w:r w:rsidRPr="001C1519">
        <w:rPr>
          <w:lang w:eastAsia="fr-FR"/>
        </w:rPr>
        <w:t>.  </w:t>
      </w:r>
      <w:r>
        <w:rPr>
          <w:lang w:eastAsia="fr-FR"/>
        </w:rPr>
        <w:t>Odpowiednie</w:t>
      </w:r>
      <w:r w:rsidRPr="00AE6FFF">
        <w:rPr>
          <w:lang w:eastAsia="fr-FR"/>
        </w:rPr>
        <w:t xml:space="preserve"> </w:t>
      </w:r>
      <w:r>
        <w:rPr>
          <w:rStyle w:val="sb8d990e2"/>
        </w:rPr>
        <w:t>części ustawy obowiązujące w tamtym czasie miały następujące brzmienie:</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fbbfee58"/>
          <w:sz w:val="20"/>
          <w:szCs w:val="20"/>
        </w:rPr>
        <w:t xml:space="preserve">"Niniejsza </w:t>
      </w:r>
      <w:r>
        <w:rPr>
          <w:rStyle w:val="sfbbfee58"/>
          <w:sz w:val="20"/>
          <w:szCs w:val="20"/>
        </w:rPr>
        <w:t>ustaw</w:t>
      </w:r>
      <w:r w:rsidRPr="009F0211">
        <w:rPr>
          <w:rStyle w:val="sfbbfee58"/>
          <w:sz w:val="20"/>
          <w:szCs w:val="20"/>
        </w:rPr>
        <w:t>a reguluje relacje wynikające z: obowiązku Państwa w zakresie wykonywania wyroków Europejskiego Trybunału Praw Człowieka w sprawach przeciwko Ukrainie; konieczności wyeliminowania przyczyn naruszenia przez Ukrainę Konwencji o ochronie praw człowieka i podstawowych wolności oraz Protokołów do niej; potrzeby wdrożenia europejskich standardów w zakresie praw człowieka w praktyce prawnej i administracyjnej Ukrainy; oraz konieczności stworzenia warunków redukujących liczbę skarg przeciwko Ukrainie wnoszonych do Europejskiego Trybunału Praw Człowieka."</w:t>
      </w:r>
    </w:p>
    <w:p w:rsidR="001C1275" w:rsidRPr="00FC024E" w:rsidRDefault="001C1275" w:rsidP="00115A21">
      <w:pPr>
        <w:pStyle w:val="s19630bcc"/>
        <w:spacing w:before="240" w:beforeAutospacing="0" w:after="120" w:afterAutospacing="0"/>
        <w:ind w:left="440" w:firstLine="110"/>
        <w:jc w:val="center"/>
        <w:rPr>
          <w:b/>
          <w:bCs/>
          <w:sz w:val="20"/>
          <w:szCs w:val="20"/>
        </w:rPr>
      </w:pPr>
      <w:r>
        <w:rPr>
          <w:rStyle w:val="sdfc50a6a"/>
          <w:b/>
          <w:bCs/>
          <w:sz w:val="20"/>
          <w:szCs w:val="20"/>
        </w:rPr>
        <w:t>Art.</w:t>
      </w:r>
      <w:r w:rsidRPr="00FC024E">
        <w:rPr>
          <w:rStyle w:val="sdfc50a6a"/>
          <w:b/>
          <w:bCs/>
          <w:sz w:val="20"/>
          <w:szCs w:val="20"/>
        </w:rPr>
        <w:t xml:space="preserve"> 1. Definicje</w:t>
      </w:r>
    </w:p>
    <w:p w:rsidR="001C1275" w:rsidRPr="009F0211" w:rsidRDefault="001C1275" w:rsidP="00115A21">
      <w:pPr>
        <w:pStyle w:val="s9e9b0cd7"/>
        <w:spacing w:before="120" w:beforeAutospacing="0" w:after="120" w:afterAutospacing="0"/>
        <w:ind w:left="440" w:firstLine="110"/>
        <w:jc w:val="both"/>
        <w:rPr>
          <w:sz w:val="20"/>
          <w:szCs w:val="20"/>
        </w:rPr>
      </w:pPr>
      <w:r>
        <w:rPr>
          <w:rStyle w:val="sfbbfee58"/>
          <w:sz w:val="20"/>
          <w:szCs w:val="20"/>
        </w:rPr>
        <w:t>„</w:t>
      </w:r>
      <w:r w:rsidRPr="009F0211">
        <w:rPr>
          <w:rStyle w:val="sfbbfee58"/>
          <w:sz w:val="20"/>
          <w:szCs w:val="20"/>
        </w:rPr>
        <w:t xml:space="preserve">1. Do celów niniejszej </w:t>
      </w:r>
      <w:r>
        <w:rPr>
          <w:rStyle w:val="sfbbfee58"/>
          <w:sz w:val="20"/>
          <w:szCs w:val="20"/>
        </w:rPr>
        <w:t>ustaw</w:t>
      </w:r>
      <w:r w:rsidRPr="009F0211">
        <w:rPr>
          <w:rStyle w:val="sfbbfee58"/>
          <w:sz w:val="20"/>
          <w:szCs w:val="20"/>
        </w:rPr>
        <w:t>y wymienione terminy używane są w następującym znaczeniu:</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fbbfee58"/>
          <w:sz w:val="20"/>
          <w:szCs w:val="20"/>
        </w:rPr>
        <w:t>...</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1a844bc0"/>
          <w:sz w:val="20"/>
          <w:szCs w:val="20"/>
        </w:rPr>
        <w:t>Konwencja</w:t>
      </w:r>
      <w:r w:rsidRPr="009F0211">
        <w:rPr>
          <w:rStyle w:val="sfbbfee58"/>
          <w:sz w:val="20"/>
          <w:szCs w:val="20"/>
        </w:rPr>
        <w:t xml:space="preserve"> – Konwencja o ochronie praw człowieka i podstawowych wolności z 1950</w:t>
      </w:r>
      <w:r>
        <w:rPr>
          <w:rStyle w:val="sfbbfee58"/>
          <w:sz w:val="20"/>
          <w:szCs w:val="20"/>
        </w:rPr>
        <w:t xml:space="preserve"> r.</w:t>
      </w:r>
      <w:r w:rsidRPr="009F0211">
        <w:rPr>
          <w:rStyle w:val="sfbbfee58"/>
          <w:sz w:val="20"/>
          <w:szCs w:val="20"/>
        </w:rPr>
        <w:t xml:space="preserve"> wraz z Protokołami, uznana za obowiązującą przez [Parlament] Ukrainy;</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1a844bc0"/>
          <w:sz w:val="20"/>
          <w:szCs w:val="20"/>
        </w:rPr>
        <w:t>Trybunał</w:t>
      </w:r>
      <w:r w:rsidRPr="009F0211">
        <w:rPr>
          <w:rStyle w:val="sfbbfee58"/>
          <w:sz w:val="20"/>
          <w:szCs w:val="20"/>
        </w:rPr>
        <w:t xml:space="preserve"> – Europejski Trybunał Praw Człowieka;</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fbbfee58"/>
          <w:sz w:val="20"/>
          <w:szCs w:val="20"/>
        </w:rPr>
        <w:t>...</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1a844bc0"/>
          <w:sz w:val="20"/>
          <w:szCs w:val="20"/>
        </w:rPr>
        <w:t>Beneficjent</w:t>
      </w:r>
      <w:r w:rsidRPr="009F0211">
        <w:rPr>
          <w:rStyle w:val="sfbbfee58"/>
          <w:sz w:val="20"/>
          <w:szCs w:val="20"/>
        </w:rPr>
        <w:t xml:space="preserve"> – (a) skarżący przed Europejskim Trybunałem Praw Człowieka w sprawach przeciwko Ukrainie, na korzyść którego Trybunał wydał wyrok lub w sprawie którego strony osiągnęły rozstrzygnięcie polubowne, lub jego przedstawiciel bądź następca prawny ...</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1a844bc0"/>
          <w:sz w:val="20"/>
          <w:szCs w:val="20"/>
        </w:rPr>
        <w:t xml:space="preserve">Wykonanie wyroku Trybunału </w:t>
      </w:r>
      <w:r w:rsidRPr="009F0211">
        <w:rPr>
          <w:rStyle w:val="sfbbfee58"/>
          <w:sz w:val="20"/>
          <w:szCs w:val="20"/>
        </w:rPr>
        <w:t xml:space="preserve"> – (a) wypłata odszkodowania Beneficjentowi; (b) zastosowanie środków indywidualnych; (c) zastosowanie środków </w:t>
      </w:r>
      <w:r>
        <w:rPr>
          <w:rStyle w:val="sfbbfee58"/>
          <w:sz w:val="20"/>
          <w:szCs w:val="20"/>
        </w:rPr>
        <w:t>generalnych</w:t>
      </w:r>
      <w:r w:rsidRPr="009F0211">
        <w:rPr>
          <w:rStyle w:val="sfbbfee58"/>
          <w:sz w:val="20"/>
          <w:szCs w:val="20"/>
        </w:rPr>
        <w:t>;</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fbbfee58"/>
          <w:sz w:val="20"/>
          <w:szCs w:val="20"/>
        </w:rPr>
        <w:t>...”</w:t>
      </w:r>
    </w:p>
    <w:p w:rsidR="001C1275" w:rsidRPr="00FC024E" w:rsidRDefault="001C1275" w:rsidP="00115A21">
      <w:pPr>
        <w:pStyle w:val="s19630bcc"/>
        <w:spacing w:before="240" w:beforeAutospacing="0" w:after="120" w:afterAutospacing="0"/>
        <w:ind w:left="440" w:firstLine="110"/>
        <w:jc w:val="center"/>
        <w:rPr>
          <w:b/>
          <w:bCs/>
          <w:sz w:val="20"/>
          <w:szCs w:val="20"/>
        </w:rPr>
      </w:pPr>
      <w:r>
        <w:rPr>
          <w:rStyle w:val="sdfc50a6a"/>
          <w:b/>
          <w:bCs/>
          <w:sz w:val="20"/>
          <w:szCs w:val="20"/>
        </w:rPr>
        <w:t>Art.</w:t>
      </w:r>
      <w:r w:rsidRPr="00FC024E">
        <w:rPr>
          <w:rStyle w:val="sdfc50a6a"/>
          <w:b/>
          <w:bCs/>
          <w:sz w:val="20"/>
          <w:szCs w:val="20"/>
        </w:rPr>
        <w:t xml:space="preserve"> 2. Wykonanie wyroku [Trybunału]</w:t>
      </w:r>
    </w:p>
    <w:p w:rsidR="001C1275" w:rsidRPr="009F0211" w:rsidRDefault="001C1275" w:rsidP="00115A21">
      <w:pPr>
        <w:pStyle w:val="s9e9b0cd7"/>
        <w:spacing w:before="120" w:beforeAutospacing="0" w:after="120" w:afterAutospacing="0"/>
        <w:ind w:left="440" w:firstLine="110"/>
        <w:jc w:val="both"/>
        <w:rPr>
          <w:sz w:val="20"/>
          <w:szCs w:val="20"/>
        </w:rPr>
      </w:pPr>
      <w:r>
        <w:rPr>
          <w:rStyle w:val="sfbbfee58"/>
          <w:sz w:val="20"/>
          <w:szCs w:val="20"/>
        </w:rPr>
        <w:t>„</w:t>
      </w:r>
      <w:r w:rsidRPr="009F0211">
        <w:rPr>
          <w:rStyle w:val="sfbbfee58"/>
          <w:sz w:val="20"/>
          <w:szCs w:val="20"/>
        </w:rPr>
        <w:t>1. Wyrok [Trybunału] jest wiążący i wykonalny w odniesieniu do Ukrainy zgodnie z art. 46 Konwencji.</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fbbfee58"/>
          <w:sz w:val="20"/>
          <w:szCs w:val="20"/>
        </w:rPr>
        <w:t xml:space="preserve">2. Procedurę wykonania wyroku określa niniejsza </w:t>
      </w:r>
      <w:r>
        <w:rPr>
          <w:rStyle w:val="sfbbfee58"/>
          <w:sz w:val="20"/>
          <w:szCs w:val="20"/>
        </w:rPr>
        <w:t>ustaw</w:t>
      </w:r>
      <w:r w:rsidRPr="009F0211">
        <w:rPr>
          <w:rStyle w:val="sfbbfee58"/>
          <w:sz w:val="20"/>
          <w:szCs w:val="20"/>
        </w:rPr>
        <w:t xml:space="preserve">a, </w:t>
      </w:r>
      <w:r>
        <w:rPr>
          <w:rStyle w:val="sfbbfee58"/>
          <w:sz w:val="20"/>
          <w:szCs w:val="20"/>
        </w:rPr>
        <w:t>ustaw</w:t>
      </w:r>
      <w:r w:rsidRPr="009F0211">
        <w:rPr>
          <w:rStyle w:val="sfbbfee58"/>
          <w:sz w:val="20"/>
          <w:szCs w:val="20"/>
        </w:rPr>
        <w:t xml:space="preserve">a o postępowaniu egzekucyjnym oraz inne regulacje, z uwzględnieniem </w:t>
      </w:r>
      <w:r>
        <w:rPr>
          <w:rStyle w:val="sfbbfee58"/>
          <w:sz w:val="20"/>
          <w:szCs w:val="20"/>
        </w:rPr>
        <w:t xml:space="preserve">przepisów </w:t>
      </w:r>
      <w:r w:rsidRPr="009F0211">
        <w:rPr>
          <w:rStyle w:val="sfbbfee58"/>
          <w:sz w:val="20"/>
          <w:szCs w:val="20"/>
        </w:rPr>
        <w:t xml:space="preserve">szczególnych niniejszej </w:t>
      </w:r>
      <w:r>
        <w:rPr>
          <w:rStyle w:val="sfbbfee58"/>
          <w:sz w:val="20"/>
          <w:szCs w:val="20"/>
        </w:rPr>
        <w:t>ustaw</w:t>
      </w:r>
      <w:r w:rsidRPr="009F0211">
        <w:rPr>
          <w:rStyle w:val="sfbbfee58"/>
          <w:sz w:val="20"/>
          <w:szCs w:val="20"/>
        </w:rPr>
        <w:t>y."</w:t>
      </w:r>
    </w:p>
    <w:p w:rsidR="001C1275" w:rsidRPr="00FC024E" w:rsidRDefault="001C1275" w:rsidP="00115A21">
      <w:pPr>
        <w:pStyle w:val="s19630bcc"/>
        <w:spacing w:before="240" w:beforeAutospacing="0" w:after="120" w:afterAutospacing="0"/>
        <w:ind w:left="440" w:firstLine="110"/>
        <w:jc w:val="center"/>
        <w:rPr>
          <w:b/>
          <w:bCs/>
          <w:sz w:val="20"/>
          <w:szCs w:val="20"/>
        </w:rPr>
      </w:pPr>
      <w:r>
        <w:rPr>
          <w:rStyle w:val="sdfc50a6a"/>
          <w:b/>
          <w:bCs/>
          <w:sz w:val="20"/>
          <w:szCs w:val="20"/>
        </w:rPr>
        <w:t>Art.</w:t>
      </w:r>
      <w:r w:rsidRPr="00FC024E">
        <w:rPr>
          <w:rStyle w:val="sdfc50a6a"/>
          <w:b/>
          <w:bCs/>
          <w:sz w:val="20"/>
          <w:szCs w:val="20"/>
        </w:rPr>
        <w:t xml:space="preserve"> 10. Dodatkowe środki indywidualne</w:t>
      </w:r>
    </w:p>
    <w:p w:rsidR="001C1275" w:rsidRPr="009F0211" w:rsidRDefault="001C1275" w:rsidP="00115A21">
      <w:pPr>
        <w:pStyle w:val="s9e9b0cd7"/>
        <w:spacing w:before="120" w:beforeAutospacing="0" w:after="120" w:afterAutospacing="0"/>
        <w:ind w:left="440" w:firstLine="110"/>
        <w:jc w:val="both"/>
        <w:rPr>
          <w:sz w:val="20"/>
          <w:szCs w:val="20"/>
        </w:rPr>
      </w:pPr>
      <w:r>
        <w:rPr>
          <w:rStyle w:val="sfbbfee58"/>
          <w:sz w:val="20"/>
          <w:szCs w:val="20"/>
        </w:rPr>
        <w:t>„</w:t>
      </w:r>
      <w:r w:rsidRPr="009F0211">
        <w:rPr>
          <w:rStyle w:val="sfbbfee58"/>
          <w:sz w:val="20"/>
          <w:szCs w:val="20"/>
        </w:rPr>
        <w:t>1. Środki indywidualne przyjmuje się dodatkowo do wypłaty odszkodowania i mają one na celu przywrócenie naruszonych praw Beneficjenta.</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fbbfee58"/>
          <w:sz w:val="20"/>
          <w:szCs w:val="20"/>
        </w:rPr>
        <w:t>2. Środki indywidualne obejmują:</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fbbfee58"/>
          <w:sz w:val="20"/>
          <w:szCs w:val="20"/>
        </w:rPr>
        <w:t>(a) przywrócenie w możliwie największym stopniu statusu prawnego Beneficjenta sprzed naruszenia Konwencji (</w:t>
      </w:r>
      <w:r w:rsidRPr="009F0211">
        <w:rPr>
          <w:rStyle w:val="s1a844bc0"/>
          <w:i/>
          <w:iCs/>
          <w:sz w:val="20"/>
          <w:szCs w:val="20"/>
        </w:rPr>
        <w:t>restitutio in integrum</w:t>
      </w:r>
      <w:r w:rsidRPr="009F0211">
        <w:rPr>
          <w:rStyle w:val="sfbbfee58"/>
          <w:sz w:val="20"/>
          <w:szCs w:val="20"/>
        </w:rPr>
        <w:t>);</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fbbfee58"/>
          <w:sz w:val="20"/>
          <w:szCs w:val="20"/>
        </w:rPr>
        <w:t>...</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fbbfee58"/>
          <w:sz w:val="20"/>
          <w:szCs w:val="20"/>
        </w:rPr>
        <w:t>3. Wcześniejszy status prawny Beneficjenta przywraca się między innymi poprzez:</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fbbfee58"/>
          <w:sz w:val="20"/>
          <w:szCs w:val="20"/>
        </w:rPr>
        <w:t xml:space="preserve">(a) ponowne rozpatrzenie sprawy przez sąd, w tym </w:t>
      </w:r>
      <w:r w:rsidRPr="00D53FA9">
        <w:rPr>
          <w:rStyle w:val="sb8d990e2"/>
          <w:sz w:val="20"/>
          <w:szCs w:val="20"/>
        </w:rPr>
        <w:t>wznowienie</w:t>
      </w:r>
      <w:r w:rsidRPr="009F0211" w:rsidDel="00D53FA9">
        <w:rPr>
          <w:rStyle w:val="sfbbfee58"/>
          <w:sz w:val="20"/>
          <w:szCs w:val="20"/>
        </w:rPr>
        <w:t xml:space="preserve"> </w:t>
      </w:r>
      <w:r w:rsidRPr="009F0211">
        <w:rPr>
          <w:rStyle w:val="sfbbfee58"/>
          <w:sz w:val="20"/>
          <w:szCs w:val="20"/>
        </w:rPr>
        <w:t>postępowania w tej sprawie;</w:t>
      </w:r>
    </w:p>
    <w:p w:rsidR="001C1275" w:rsidRPr="009F0211" w:rsidRDefault="001C1275" w:rsidP="00E55FC5">
      <w:pPr>
        <w:pStyle w:val="s9e9b0cd7"/>
        <w:spacing w:before="120" w:beforeAutospacing="0" w:after="120" w:afterAutospacing="0"/>
        <w:ind w:left="440" w:firstLine="110"/>
        <w:jc w:val="both"/>
        <w:rPr>
          <w:sz w:val="20"/>
          <w:szCs w:val="20"/>
        </w:rPr>
      </w:pPr>
      <w:r w:rsidRPr="009F0211">
        <w:rPr>
          <w:rStyle w:val="sfbbfee58"/>
          <w:sz w:val="20"/>
          <w:szCs w:val="20"/>
        </w:rPr>
        <w:t>(b) ponowne rozpatrzenie sprawy przez organ administracyjny."</w:t>
      </w:r>
    </w:p>
    <w:p w:rsidR="001C1275" w:rsidRPr="00FC024E" w:rsidRDefault="001C1275" w:rsidP="00E55FC5">
      <w:pPr>
        <w:pStyle w:val="s19630bcc"/>
        <w:spacing w:before="240" w:beforeAutospacing="0" w:after="120" w:afterAutospacing="0"/>
        <w:ind w:left="440" w:firstLine="110"/>
        <w:jc w:val="center"/>
        <w:rPr>
          <w:b/>
          <w:bCs/>
          <w:sz w:val="20"/>
          <w:szCs w:val="20"/>
        </w:rPr>
      </w:pPr>
      <w:r>
        <w:rPr>
          <w:rStyle w:val="sdfc50a6a"/>
          <w:b/>
          <w:bCs/>
          <w:sz w:val="20"/>
          <w:szCs w:val="20"/>
        </w:rPr>
        <w:t>Art.</w:t>
      </w:r>
      <w:r w:rsidRPr="00FC024E">
        <w:rPr>
          <w:rStyle w:val="sdfc50a6a"/>
          <w:b/>
          <w:bCs/>
          <w:sz w:val="20"/>
          <w:szCs w:val="20"/>
        </w:rPr>
        <w:t xml:space="preserve"> 11. Działania podejmowane przez Biuro</w:t>
      </w:r>
      <w:r>
        <w:rPr>
          <w:rStyle w:val="sdfc50a6a"/>
          <w:b/>
          <w:bCs/>
          <w:sz w:val="20"/>
          <w:szCs w:val="20"/>
        </w:rPr>
        <w:t xml:space="preserve"> Pełnomocnika Rządu</w:t>
      </w:r>
      <w:r w:rsidRPr="00FC024E">
        <w:rPr>
          <w:rStyle w:val="sdfc50a6a"/>
          <w:b/>
          <w:bCs/>
          <w:sz w:val="20"/>
          <w:szCs w:val="20"/>
        </w:rPr>
        <w:t xml:space="preserve"> w zakresie środków indywidualnych</w:t>
      </w:r>
    </w:p>
    <w:p w:rsidR="001C1275" w:rsidRPr="009F0211" w:rsidRDefault="001C1275" w:rsidP="00E55FC5">
      <w:pPr>
        <w:pStyle w:val="s9e9b0cd7"/>
        <w:spacing w:before="120" w:beforeAutospacing="0" w:after="120" w:afterAutospacing="0"/>
        <w:ind w:left="440" w:firstLine="110"/>
        <w:jc w:val="both"/>
        <w:rPr>
          <w:sz w:val="20"/>
          <w:szCs w:val="20"/>
        </w:rPr>
      </w:pPr>
      <w:r>
        <w:rPr>
          <w:rStyle w:val="sfbbfee58"/>
          <w:sz w:val="20"/>
          <w:szCs w:val="20"/>
        </w:rPr>
        <w:t>„</w:t>
      </w:r>
      <w:r w:rsidRPr="009F0211">
        <w:rPr>
          <w:rStyle w:val="sfbbfee58"/>
          <w:sz w:val="20"/>
          <w:szCs w:val="20"/>
        </w:rPr>
        <w:t xml:space="preserve">1. Biuro </w:t>
      </w:r>
      <w:r>
        <w:rPr>
          <w:rStyle w:val="sfbbfee58"/>
          <w:sz w:val="20"/>
          <w:szCs w:val="20"/>
        </w:rPr>
        <w:t>Pełnomocnika Rządu</w:t>
      </w:r>
      <w:r w:rsidRPr="009F0211">
        <w:rPr>
          <w:rStyle w:val="sfbbfee58"/>
          <w:sz w:val="20"/>
          <w:szCs w:val="20"/>
        </w:rPr>
        <w:t>, w terminie trzech dni od otrzymania powiadomienia z Trybunału, że wyrok stał się prawomocny:</w:t>
      </w:r>
    </w:p>
    <w:p w:rsidR="001C1275" w:rsidRPr="00E55FC5" w:rsidRDefault="001C1275" w:rsidP="00E55FC5">
      <w:pPr>
        <w:pStyle w:val="s9e9b0cd7"/>
        <w:spacing w:before="120" w:beforeAutospacing="0" w:after="120" w:afterAutospacing="0"/>
        <w:ind w:left="440" w:firstLine="110"/>
        <w:jc w:val="both"/>
      </w:pPr>
      <w:r w:rsidRPr="009F0211">
        <w:rPr>
          <w:rStyle w:val="sfbbfee58"/>
          <w:sz w:val="20"/>
          <w:szCs w:val="20"/>
        </w:rPr>
        <w:t>(a) przesyła Beneficjentowi powiadomienie pouczające o jego prawie do wszczęcia</w:t>
      </w:r>
      <w:r>
        <w:rPr>
          <w:rStyle w:val="sfbbfee58"/>
          <w:sz w:val="20"/>
          <w:szCs w:val="20"/>
        </w:rPr>
        <w:t xml:space="preserve"> postępowania mającego na celu ponowne rozpatrzenie</w:t>
      </w:r>
      <w:r w:rsidRPr="009F0211">
        <w:rPr>
          <w:rStyle w:val="sfbbfee58"/>
          <w:sz w:val="20"/>
          <w:szCs w:val="20"/>
        </w:rPr>
        <w:t xml:space="preserve"> jego sprawy i/lub </w:t>
      </w:r>
      <w:r w:rsidRPr="00D53FA9">
        <w:rPr>
          <w:rStyle w:val="sb8d990e2"/>
          <w:sz w:val="20"/>
          <w:szCs w:val="20"/>
        </w:rPr>
        <w:t>wznowienie</w:t>
      </w:r>
      <w:r w:rsidRPr="009F0211">
        <w:rPr>
          <w:rStyle w:val="sfbbfee58"/>
          <w:sz w:val="20"/>
          <w:szCs w:val="20"/>
        </w:rPr>
        <w:t xml:space="preserve"> postępowania zgodnie z obowiązującym prawem ..."</w:t>
      </w:r>
    </w:p>
    <w:p w:rsidR="001C1275" w:rsidRPr="00AD51AE" w:rsidRDefault="001C1275" w:rsidP="00B83FFA">
      <w:pPr>
        <w:pStyle w:val="ECHRHeading1"/>
        <w:rPr>
          <w:caps/>
          <w:lang w:val="pl-PL" w:eastAsia="fr-FR"/>
        </w:rPr>
      </w:pPr>
      <w:r w:rsidRPr="001C1519">
        <w:rPr>
          <w:caps/>
          <w:lang w:val="pl-PL" w:eastAsia="fr-FR"/>
        </w:rPr>
        <w:t>III.  </w:t>
      </w:r>
      <w:r w:rsidRPr="00AD51AE">
        <w:rPr>
          <w:caps/>
          <w:lang w:val="pl-PL" w:eastAsia="fr-FR"/>
        </w:rPr>
        <w:t>PRAWO I PRAKTYKA PAŃSTW CZŁONKOWSKICH RADY EUROPY</w:t>
      </w:r>
    </w:p>
    <w:p w:rsidR="001C1275" w:rsidRPr="00BD23A5" w:rsidRDefault="001C1275" w:rsidP="00C264C5">
      <w:pPr>
        <w:pStyle w:val="ECHRPara"/>
        <w:rPr>
          <w:lang w:eastAsia="fr-FR"/>
        </w:rPr>
      </w:pPr>
      <w:r w:rsidRPr="001C1519">
        <w:rPr>
          <w:lang w:eastAsia="fr-FR"/>
        </w:rPr>
        <w:fldChar w:fldCharType="begin"/>
      </w:r>
      <w:r w:rsidRPr="001C1519">
        <w:rPr>
          <w:lang w:eastAsia="fr-FR"/>
        </w:rPr>
        <w:instrText xml:space="preserve"> SEQ level0 \*arabic </w:instrText>
      </w:r>
      <w:r w:rsidRPr="001C1519">
        <w:rPr>
          <w:lang w:eastAsia="fr-FR"/>
        </w:rPr>
        <w:fldChar w:fldCharType="separate"/>
      </w:r>
      <w:r w:rsidRPr="001C1519">
        <w:rPr>
          <w:noProof/>
          <w:lang w:eastAsia="fr-FR"/>
        </w:rPr>
        <w:t>26</w:t>
      </w:r>
      <w:r w:rsidRPr="001C1519">
        <w:rPr>
          <w:lang w:eastAsia="fr-FR"/>
        </w:rPr>
        <w:fldChar w:fldCharType="end"/>
      </w:r>
      <w:r w:rsidRPr="001C1519">
        <w:rPr>
          <w:lang w:eastAsia="fr-FR"/>
        </w:rPr>
        <w:t>.  </w:t>
      </w:r>
      <w:r>
        <w:rPr>
          <w:rStyle w:val="sb8d990e2"/>
        </w:rPr>
        <w:t>Studium porównawcze ustawodawstwa i praktyki krajowej w trzydziestu ośmiu państwach członkowskich Rady Europy pokazuje, że wiele państw wdrożyło mechanizmy krajowe przewidujące możliwość wystąpienia o ponowne rozpatrzenie spraw cywilnych zakończonych prawomocną decyzją sądową na podstawie stwierdzenia przez Trybunał naruszenia Konwencji. W szczególności, w dwudziestu dwóch państwach członkowskich objętych badaniem krajowy kodeks postępowania cywilnego wyraźnie przewiduje możliwość – dla skarżącego, który uzyskał rozstrzygnięcie na swoją korzyść – wystąpienia o ponowne rozpatrzenie sprawy cywilnej na podstawie stwierdzenia naruszenia przez Europejski Trybunał Praw Człowieka lub inny trybunał</w:t>
      </w:r>
      <w:r w:rsidRPr="00C87F9B">
        <w:rPr>
          <w:rStyle w:val="sb8d990e2"/>
        </w:rPr>
        <w:t xml:space="preserve"> </w:t>
      </w:r>
      <w:r>
        <w:rPr>
          <w:rStyle w:val="sb8d990e2"/>
        </w:rPr>
        <w:t xml:space="preserve">międzynarodowy. Jest tak w przypadku Albanii, Andory, Armenii, Azerbejdżanu, Chorwacji, Czech, Estonii, Byłej Jugosłowiańskiej Republiki Macedonii, Gruzji, Niemiec, Łotwy, Litwy, Mołdawii, Czarnogóry, Norwegii, Portugalii, Rumunii, Rosji, Serbii, Słowacji, Szwajcarii i Turcji. We wszystkich tych Państwach o ponowne rozpatrzenie sprawy występuje się do sądu. Niemniej poziom właściwości różni się w zależności od Państwa Członkowskiego. W niektórych Państwach wniosek tego rodzaju rozpatruje najwyższy organ sądowy, czyli Sąd Najwyższy (jest </w:t>
      </w:r>
      <w:r w:rsidRPr="00450242">
        <w:rPr>
          <w:rStyle w:val="sb8d990e2"/>
        </w:rPr>
        <w:t xml:space="preserve">tak w przypadku Albanii, Azerbejdżanu, Estonii i Litwy) lub Trybunał Konstytucyjny (Czechy). W innych wniosek jest kierowany do sądu, którego decyzja jest przedmiotem zaskarżenia (Chorwacja, Była Jugosłowiańska Republika Macedonii i Serbia). Co do zasady takie ponowne rozpatrzenie sprawy </w:t>
      </w:r>
      <w:r>
        <w:rPr>
          <w:rStyle w:val="sb8d990e2"/>
        </w:rPr>
        <w:t xml:space="preserve">nie jest automatyczne i podlega kryteriom dopuszczalności takim jak terminy, </w:t>
      </w:r>
      <w:r w:rsidRPr="00414ADB">
        <w:rPr>
          <w:rStyle w:val="sb8d990e2"/>
        </w:rPr>
        <w:t>status skarżącego jako uprawnionego do złożenia wniosku oraz uzasadni</w:t>
      </w:r>
      <w:r>
        <w:rPr>
          <w:rStyle w:val="sb8d990e2"/>
        </w:rPr>
        <w:t>enie wniosku (jest tak na przykład w przypadku Albanii, Byłej Jugosłowiańskiej Republiki Macedonii, Gruzji, Czarnogóry i Turcji). Niektóre przepisy krajowe przewidują inne warunki do spełnienia, na przykład to, że poważne konsekwencje naruszenia nadal istnieją (Rumunia) lub że odszkodowanie nie naprawiło naruszenia (Słowacja), lub że skarżący nie mógł otrzymać rekompensaty żadną inną drogą (Estonia).</w:t>
      </w:r>
    </w:p>
    <w:p w:rsidR="001C1275" w:rsidRPr="00BD23A5" w:rsidRDefault="001C1275" w:rsidP="00C264C5">
      <w:pPr>
        <w:pStyle w:val="ECHRPara"/>
        <w:rPr>
          <w:lang w:eastAsia="fr-FR"/>
        </w:rPr>
      </w:pPr>
      <w:r w:rsidRPr="001C1519">
        <w:rPr>
          <w:lang w:eastAsia="fr-FR"/>
        </w:rPr>
        <w:fldChar w:fldCharType="begin"/>
      </w:r>
      <w:r w:rsidRPr="001C1519">
        <w:rPr>
          <w:lang w:eastAsia="fr-FR"/>
        </w:rPr>
        <w:instrText xml:space="preserve"> SEQ level0 \*arabic </w:instrText>
      </w:r>
      <w:r w:rsidRPr="001C1519">
        <w:rPr>
          <w:lang w:eastAsia="fr-FR"/>
        </w:rPr>
        <w:fldChar w:fldCharType="separate"/>
      </w:r>
      <w:r w:rsidRPr="001C1519">
        <w:rPr>
          <w:noProof/>
          <w:lang w:eastAsia="fr-FR"/>
        </w:rPr>
        <w:t>27</w:t>
      </w:r>
      <w:r w:rsidRPr="001C1519">
        <w:rPr>
          <w:lang w:eastAsia="fr-FR"/>
        </w:rPr>
        <w:fldChar w:fldCharType="end"/>
      </w:r>
      <w:r w:rsidRPr="001C1519">
        <w:rPr>
          <w:lang w:eastAsia="fr-FR"/>
        </w:rPr>
        <w:t>.  </w:t>
      </w:r>
      <w:r>
        <w:rPr>
          <w:rStyle w:val="sb8d990e2"/>
        </w:rPr>
        <w:t xml:space="preserve">Chociaż w szesnastu z trzydziestu ośmiu państw członkowskich objętych badaniem ponowne rozpatrzenie sprawy cywilnej na podstawie stwierdzenia przez Trybunał naruszenia Konwencji nie jest obecnie wyraźnie przewidziane w istniejących przepisach prawa (jest tak w Austrii, Belgii, Francji, Grecji, na Węgrzech, we Włoszech, w Irlandii, Liechtensteinie, Luksemburgu, Monako, Holandii, Polsce, Słowenii, Hiszpanii, Szwecji i Wielkiej Brytanii (Anglii i Walii)), w niektórych tych krajach wciąż może istnieć dla skarżącego możliwość wystąpienia o ponowne rozpatrzenie sprawy zgodnie z </w:t>
      </w:r>
      <w:r w:rsidRPr="00450242">
        <w:rPr>
          <w:rStyle w:val="sb8d990e2"/>
        </w:rPr>
        <w:t>procedurą rewizji w świetle nowych stwierdzonych faktów lub popełnionych błędów proceduralnych</w:t>
      </w:r>
      <w:r>
        <w:rPr>
          <w:rStyle w:val="sb8d990e2"/>
        </w:rPr>
        <w:t xml:space="preserve"> (na przykład Francja, Holandia i Polska).</w:t>
      </w:r>
    </w:p>
    <w:p w:rsidR="001C1275" w:rsidRPr="000E0498" w:rsidRDefault="001C1275" w:rsidP="00B83FFA">
      <w:pPr>
        <w:pStyle w:val="ECHRHeading1"/>
        <w:rPr>
          <w:caps/>
          <w:lang w:val="pl-PL" w:eastAsia="fr-FR"/>
        </w:rPr>
      </w:pPr>
      <w:r w:rsidRPr="001C1519">
        <w:rPr>
          <w:caps/>
          <w:lang w:val="pl-PL" w:eastAsia="fr-FR"/>
        </w:rPr>
        <w:t>IV.  </w:t>
      </w:r>
      <w:r w:rsidRPr="000E0498">
        <w:rPr>
          <w:caps/>
          <w:lang w:val="pl-PL" w:eastAsia="fr-FR"/>
        </w:rPr>
        <w:t xml:space="preserve">ZALECENIE KOMITETU MINISTRÓW [RADY EUROPY] </w:t>
      </w:r>
      <w:r>
        <w:rPr>
          <w:caps/>
          <w:lang w:val="pl-PL" w:eastAsia="fr-FR"/>
        </w:rPr>
        <w:t>NR</w:t>
      </w:r>
      <w:r w:rsidRPr="000E0498">
        <w:rPr>
          <w:caps/>
          <w:lang w:val="pl-PL" w:eastAsia="fr-FR"/>
        </w:rPr>
        <w:t> R (2000) 2</w:t>
      </w:r>
    </w:p>
    <w:p w:rsidR="001C1275" w:rsidRPr="00BD71C5" w:rsidRDefault="001C1275" w:rsidP="00C264C5">
      <w:pPr>
        <w:pStyle w:val="ECHRPara"/>
      </w:pPr>
      <w:fldSimple w:instr=" SEQ level0 \*arabic ">
        <w:r w:rsidRPr="001C1519">
          <w:rPr>
            <w:noProof/>
          </w:rPr>
          <w:t>28</w:t>
        </w:r>
      </w:fldSimple>
      <w:r w:rsidRPr="001C1519">
        <w:t>.  </w:t>
      </w:r>
      <w:r>
        <w:rPr>
          <w:rStyle w:val="sb8d990e2"/>
        </w:rPr>
        <w:t xml:space="preserve">W Zaleceniu nr R (2000) 2, przyjętym 19 stycznia 2000 r. na 694. posiedzeniu delegatów ministrów, Komitet Ministrów stwierdził, że praktyka nadzoru nad wykonaniem wyroków Trybunału pokazuje, że ponowne rozpatrzenie sprawy lub wznowienie postępowania okazuje się w pewnych okolicznościach najbardziej skutecznym, jeżeli nie jedynym, środkiem osiągnięcia </w:t>
      </w:r>
      <w:r>
        <w:rPr>
          <w:rStyle w:val="s6b621b36"/>
          <w:i/>
          <w:iCs/>
        </w:rPr>
        <w:t>restitutio in integrum</w:t>
      </w:r>
      <w:r>
        <w:rPr>
          <w:rStyle w:val="sb8d990e2"/>
        </w:rPr>
        <w:t>. Dlatego Komitet Ministrów wezwał Państwa Członkowskie do wprowadzenia mechanizmów ponownego rozpatrzenia sprawy po stwierdzeniu przez Trybunał naruszenia Konwencji, szczególnie jeżeli:</w:t>
      </w:r>
    </w:p>
    <w:p w:rsidR="001C1275" w:rsidRPr="00783E21" w:rsidRDefault="001C1275" w:rsidP="00783E21">
      <w:pPr>
        <w:pStyle w:val="s9e9b0cd7"/>
        <w:spacing w:before="120" w:beforeAutospacing="0" w:after="120" w:afterAutospacing="0"/>
        <w:ind w:left="440" w:firstLine="110"/>
        <w:jc w:val="both"/>
        <w:rPr>
          <w:rStyle w:val="sfbbfee58"/>
          <w:sz w:val="20"/>
          <w:szCs w:val="20"/>
        </w:rPr>
      </w:pPr>
      <w:r w:rsidRPr="00783E21">
        <w:rPr>
          <w:rStyle w:val="sfbbfee58"/>
          <w:sz w:val="20"/>
          <w:szCs w:val="20"/>
        </w:rPr>
        <w:t>„(i) pokrzywdzona strona w dalszym ciągu odczuwa bardzo poważne negatywne konsekwencje, wynikające z rezultatu spornej decyzji krajowej, które nie zostały wystarczająco naprawione poprzez słuszne zadośćuczynienie i nie mogą zostać skorygowane, za wyjątkiem ponownego rozpatrzenia lub wznowienia, oraz</w:t>
      </w:r>
    </w:p>
    <w:p w:rsidR="001C1275" w:rsidRPr="00783E21" w:rsidRDefault="001C1275" w:rsidP="00783E21">
      <w:pPr>
        <w:pStyle w:val="s9e9b0cd7"/>
        <w:spacing w:before="120" w:beforeAutospacing="0" w:after="120" w:afterAutospacing="0"/>
        <w:ind w:left="440" w:firstLine="110"/>
        <w:jc w:val="both"/>
        <w:rPr>
          <w:rStyle w:val="sfbbfee58"/>
          <w:sz w:val="20"/>
          <w:szCs w:val="20"/>
        </w:rPr>
      </w:pPr>
      <w:r w:rsidRPr="00783E21">
        <w:rPr>
          <w:rStyle w:val="sfbbfee58"/>
          <w:sz w:val="20"/>
          <w:szCs w:val="20"/>
        </w:rPr>
        <w:t>(ii) wyrok Trybunału prowadzi do wniosku, iż</w:t>
      </w:r>
    </w:p>
    <w:p w:rsidR="001C1275" w:rsidRPr="00783E21" w:rsidRDefault="001C1275" w:rsidP="00783E21">
      <w:pPr>
        <w:pStyle w:val="s9e9b0cd7"/>
        <w:spacing w:before="120" w:beforeAutospacing="0" w:after="120" w:afterAutospacing="0"/>
        <w:ind w:left="440" w:firstLine="110"/>
        <w:jc w:val="both"/>
        <w:rPr>
          <w:rStyle w:val="sfbbfee58"/>
          <w:sz w:val="20"/>
          <w:szCs w:val="20"/>
        </w:rPr>
      </w:pPr>
      <w:r w:rsidRPr="00783E21">
        <w:rPr>
          <w:rStyle w:val="sfbbfee58"/>
          <w:sz w:val="20"/>
          <w:szCs w:val="20"/>
        </w:rPr>
        <w:t>(a) kwestionowana decyzja krajowa jest w swoim meritum sprzeczna z Konwencją, lub</w:t>
      </w:r>
    </w:p>
    <w:p w:rsidR="001C1275" w:rsidRPr="00783E21" w:rsidRDefault="001C1275" w:rsidP="00783E21">
      <w:pPr>
        <w:pStyle w:val="s9e9b0cd7"/>
        <w:spacing w:before="120" w:beforeAutospacing="0" w:after="120" w:afterAutospacing="0"/>
        <w:ind w:left="440" w:firstLine="110"/>
        <w:jc w:val="both"/>
        <w:rPr>
          <w:rStyle w:val="sfbbfee58"/>
          <w:sz w:val="20"/>
          <w:szCs w:val="20"/>
        </w:rPr>
      </w:pPr>
      <w:r w:rsidRPr="00783E21">
        <w:rPr>
          <w:rStyle w:val="sfbbfee58"/>
          <w:sz w:val="20"/>
          <w:szCs w:val="20"/>
        </w:rPr>
        <w:t>(b) stwierdzone naruszenie wynika z błędów proceduralnych lub wad o takim ciężarze, iż nasuwa się poważna wątpliwość co do wyniku zaskarżonego postępowania krajowego.”</w:t>
      </w:r>
    </w:p>
    <w:p w:rsidR="001C1275" w:rsidRPr="009F0211" w:rsidRDefault="001C1275" w:rsidP="00E55FC5">
      <w:pPr>
        <w:pStyle w:val="sc3d30776"/>
        <w:spacing w:before="120" w:beforeAutospacing="0" w:after="120" w:afterAutospacing="0"/>
        <w:ind w:left="440" w:firstLine="110"/>
        <w:jc w:val="both"/>
        <w:rPr>
          <w:sz w:val="20"/>
          <w:szCs w:val="20"/>
        </w:rPr>
      </w:pPr>
    </w:p>
    <w:p w:rsidR="001C1275" w:rsidRPr="001C1519" w:rsidRDefault="001C1275" w:rsidP="00014566">
      <w:pPr>
        <w:pStyle w:val="ECHRTitle1"/>
        <w:rPr>
          <w:lang w:val="pl-PL"/>
        </w:rPr>
      </w:pPr>
      <w:r w:rsidRPr="001C1519">
        <w:rPr>
          <w:lang w:val="pl-PL"/>
        </w:rPr>
        <w:t>PRAWO</w:t>
      </w:r>
    </w:p>
    <w:p w:rsidR="001C1275" w:rsidRPr="00C63D7F" w:rsidRDefault="001C1275" w:rsidP="000B5A6A">
      <w:pPr>
        <w:pStyle w:val="ECHRHeading1"/>
        <w:rPr>
          <w:caps/>
          <w:lang w:val="pl-PL" w:eastAsia="fr-FR"/>
        </w:rPr>
      </w:pPr>
      <w:r w:rsidRPr="001C1519">
        <w:rPr>
          <w:caps/>
          <w:lang w:val="pl-PL" w:eastAsia="fr-FR"/>
        </w:rPr>
        <w:t>I.  </w:t>
      </w:r>
      <w:r w:rsidRPr="001C1519">
        <w:rPr>
          <w:rStyle w:val="s25f8fbd9"/>
          <w:lang w:val="pl-PL"/>
        </w:rPr>
        <w:t xml:space="preserve">ZARZUT NARUSZENIA ART. 6 </w:t>
      </w:r>
      <w:r w:rsidRPr="00374757">
        <w:rPr>
          <w:rStyle w:val="sb8d990e2"/>
          <w:lang w:val="pl-PL"/>
        </w:rPr>
        <w:t>UST.</w:t>
      </w:r>
      <w:r w:rsidRPr="004C314E">
        <w:rPr>
          <w:rStyle w:val="sb8d990e2"/>
          <w:lang w:val="pl-PL"/>
        </w:rPr>
        <w:t xml:space="preserve"> </w:t>
      </w:r>
      <w:r w:rsidRPr="001C1519">
        <w:rPr>
          <w:rStyle w:val="s25f8fbd9"/>
          <w:lang w:val="pl-PL"/>
        </w:rPr>
        <w:t xml:space="preserve">1 KONWENCJI </w:t>
      </w:r>
      <w:r>
        <w:rPr>
          <w:rStyle w:val="s25f8fbd9"/>
          <w:lang w:val="pl-PL"/>
        </w:rPr>
        <w:t>I</w:t>
      </w:r>
      <w:r w:rsidRPr="001C1519">
        <w:rPr>
          <w:rStyle w:val="s25f8fbd9"/>
          <w:lang w:val="pl-PL"/>
        </w:rPr>
        <w:t xml:space="preserve"> ART. 1 PROTOKOŁU NR 1</w:t>
      </w:r>
    </w:p>
    <w:p w:rsidR="001C1275" w:rsidRPr="00BE636A" w:rsidRDefault="001C1275" w:rsidP="00C264C5">
      <w:pPr>
        <w:pStyle w:val="ECHRPara"/>
        <w:rPr>
          <w:lang w:eastAsia="fr-FR"/>
        </w:rPr>
      </w:pPr>
      <w:r w:rsidRPr="001C1519">
        <w:rPr>
          <w:lang w:eastAsia="fr-FR"/>
        </w:rPr>
        <w:fldChar w:fldCharType="begin"/>
      </w:r>
      <w:r w:rsidRPr="001C1519">
        <w:rPr>
          <w:lang w:eastAsia="fr-FR"/>
        </w:rPr>
        <w:instrText xml:space="preserve"> SEQ level0 \*arabic </w:instrText>
      </w:r>
      <w:r w:rsidRPr="001C1519">
        <w:rPr>
          <w:lang w:eastAsia="fr-FR"/>
        </w:rPr>
        <w:fldChar w:fldCharType="separate"/>
      </w:r>
      <w:r w:rsidRPr="001C1519">
        <w:rPr>
          <w:noProof/>
          <w:lang w:eastAsia="fr-FR"/>
        </w:rPr>
        <w:t>29</w:t>
      </w:r>
      <w:r w:rsidRPr="001C1519">
        <w:rPr>
          <w:lang w:eastAsia="fr-FR"/>
        </w:rPr>
        <w:fldChar w:fldCharType="end"/>
      </w:r>
      <w:r w:rsidRPr="001C1519">
        <w:rPr>
          <w:lang w:eastAsia="fr-FR"/>
        </w:rPr>
        <w:t>.  </w:t>
      </w:r>
      <w:r>
        <w:rPr>
          <w:rStyle w:val="sb8d990e2"/>
        </w:rPr>
        <w:t>Skarżąca wniosła zarzuty co do postępowania dotyczącego jej "odwołania w świetle wyjątkowych okoliczności" ("odwołanie o charakterze wyjątkowym"), zakończonego decyzją Sądu Najwyższego z dnia 14 marca 2008 r. W szczególności skarżąca argumentowała, że rozpatrując jej odwołanie o charakterze wyjątkowym Sąd Najwyższy nie uwzględnił ustaleń Trybunału poczynionych na mocy art. 6 ust. 1 Konwencji w wyroku Trybunału z dnia 3 maja 2007 r. dotyczącym oceny materiału dowodowego przez sądy krajowe (zob. paragraf 15 powyżej). Sąd Najwyższy nie ustosunkował się ponadto do niektórych ważnych aspektów sprawy, zwłaszcza ważności zasadniczych dowodów dokumentowych, na podstawie których sądy krajowe podejmowały decyzje. Co więcej, jego uzasadnienie dotyczące wyniku wcześniejszej skargi skarżącej pozostawało w sprzeczności z ustaleniami wyroku Trybunału z dnia 3 maja 2007 r. (zob. paragrafy 13 i 18 powyżej). Według skarżącej, nierzetelny sposób, w jaki Sąd Najwyższy zajął się jej odwołaniem o charakterze wyjątkowym, spowodował nowe naruszenie art. 6 ust. 1 Konwencji i art. 1 Protokołu nr 1. Przepisy</w:t>
      </w:r>
      <w:r w:rsidRPr="00B71219">
        <w:rPr>
          <w:rStyle w:val="sb8d990e2"/>
        </w:rPr>
        <w:t xml:space="preserve"> te stanowią – w zakresie, w jakim ma to znaczenie dla wniosków skarżącej – co następuje:</w:t>
      </w:r>
    </w:p>
    <w:p w:rsidR="001C1275" w:rsidRPr="004C314E" w:rsidRDefault="001C1275" w:rsidP="004C314E">
      <w:pPr>
        <w:pStyle w:val="ECHRTitleCentre3"/>
        <w:rPr>
          <w:rStyle w:val="sdfc50a6a"/>
          <w:lang w:val="pl-PL"/>
        </w:rPr>
      </w:pPr>
      <w:r w:rsidRPr="004C314E">
        <w:rPr>
          <w:rStyle w:val="sdfc50a6a"/>
          <w:lang w:val="pl-PL"/>
        </w:rPr>
        <w:t xml:space="preserve">Art. 6 </w:t>
      </w:r>
      <w:r w:rsidRPr="00983059">
        <w:rPr>
          <w:rStyle w:val="sdfc50a6a"/>
          <w:lang w:val="pl-PL"/>
        </w:rPr>
        <w:t>ust.</w:t>
      </w:r>
      <w:r w:rsidRPr="004C314E">
        <w:rPr>
          <w:rStyle w:val="sdfc50a6a"/>
          <w:lang w:val="pl-PL"/>
        </w:rPr>
        <w:t xml:space="preserve"> 1</w:t>
      </w:r>
    </w:p>
    <w:p w:rsidR="001C1275" w:rsidRPr="004C314E" w:rsidRDefault="001C1275" w:rsidP="004C314E">
      <w:pPr>
        <w:pStyle w:val="ECHRParaQuote"/>
        <w:rPr>
          <w:lang w:val="pl-PL"/>
        </w:rPr>
      </w:pPr>
      <w:r w:rsidRPr="004C314E">
        <w:rPr>
          <w:rStyle w:val="sfbbfee58"/>
          <w:lang w:val="pl-PL"/>
        </w:rPr>
        <w:t>„Każdy ma prawo do sprawiedliwego ... rozpatrzenia jego sprawy... przez ... sąd ... przy rozstrzyganiu o jego prawach i obowiązkach o charakterze cywilnym...”</w:t>
      </w:r>
    </w:p>
    <w:p w:rsidR="001C1275" w:rsidRPr="004C314E" w:rsidRDefault="001C1275" w:rsidP="004C314E">
      <w:pPr>
        <w:pStyle w:val="ECHRTitleCentre3"/>
        <w:rPr>
          <w:rFonts w:ascii="Cambria" w:hAnsi="Cambria" w:cs="Cambria"/>
          <w:lang w:val="pl-PL"/>
        </w:rPr>
      </w:pPr>
      <w:r w:rsidRPr="004C314E">
        <w:rPr>
          <w:rFonts w:ascii="Cambria" w:hAnsi="Cambria" w:cs="Cambria"/>
          <w:lang w:val="pl-PL"/>
        </w:rPr>
        <w:t>Art</w:t>
      </w:r>
      <w:r w:rsidRPr="00983059">
        <w:rPr>
          <w:rFonts w:ascii="Cambria" w:hAnsi="Cambria" w:cs="Cambria"/>
          <w:lang w:val="pl-PL" w:eastAsia="fr-FR"/>
        </w:rPr>
        <w:t>.</w:t>
      </w:r>
      <w:r w:rsidRPr="004C314E">
        <w:rPr>
          <w:rFonts w:ascii="Cambria" w:hAnsi="Cambria" w:cs="Cambria"/>
          <w:lang w:val="pl-PL"/>
        </w:rPr>
        <w:t xml:space="preserve"> 1 Protokołu </w:t>
      </w:r>
      <w:r w:rsidRPr="00983059">
        <w:rPr>
          <w:rFonts w:ascii="Cambria" w:hAnsi="Cambria" w:cs="Cambria"/>
          <w:lang w:val="pl-PL" w:eastAsia="fr-FR"/>
        </w:rPr>
        <w:t>nr</w:t>
      </w:r>
      <w:r w:rsidRPr="004C314E">
        <w:rPr>
          <w:rFonts w:ascii="Cambria" w:hAnsi="Cambria" w:cs="Cambria"/>
          <w:lang w:val="pl-PL"/>
        </w:rPr>
        <w:t xml:space="preserve"> 1</w:t>
      </w:r>
    </w:p>
    <w:p w:rsidR="001C1275" w:rsidRPr="004C314E" w:rsidRDefault="001C1275" w:rsidP="004C314E">
      <w:pPr>
        <w:pStyle w:val="ECHRParaQuote"/>
        <w:rPr>
          <w:lang w:val="pl-PL"/>
        </w:rPr>
      </w:pPr>
      <w:r w:rsidRPr="00983059">
        <w:rPr>
          <w:rStyle w:val="sfbbfee58"/>
          <w:lang w:val="pl-PL"/>
        </w:rPr>
        <w:t>„</w:t>
      </w:r>
      <w:r w:rsidRPr="004C314E">
        <w:rPr>
          <w:rStyle w:val="sfbbfee58"/>
          <w:lang w:val="pl-PL"/>
        </w:rPr>
        <w:t>Każda osoba fizyczna i prawna ma prawo do poszanowania swego mienia. Nikt nie może być pozbawiony swojej własności, chyba że w interesie publicznym i na warunkach przewidzianych przez ustawę oraz zgodnie z podstawowymi zasadami prawa międzynarodowego.</w:t>
      </w:r>
    </w:p>
    <w:p w:rsidR="001C1275" w:rsidRPr="001C1519" w:rsidRDefault="001C1275" w:rsidP="004C314E">
      <w:pPr>
        <w:pStyle w:val="ECHRParaQuote"/>
        <w:rPr>
          <w:rStyle w:val="sfbbfee58"/>
          <w:lang w:val="pl-PL"/>
        </w:rPr>
      </w:pPr>
      <w:r w:rsidRPr="001C1519">
        <w:rPr>
          <w:rStyle w:val="sfbbfee58"/>
          <w:lang w:val="pl-PL"/>
        </w:rPr>
        <w:t>Powyższe postanowienia nie będą jednak w żaden sposób naruszać prawa Państwa do wydawania takich ustaw, jakie uzna za konieczne dla uregulowania sposobu korzystania z własności zgodnie z interesem powszechnym lub w celu zapewnienia uiszczania podatków bądź innych należności czy kar pieniężnych.”</w:t>
      </w:r>
    </w:p>
    <w:p w:rsidR="001C1275" w:rsidRPr="00165918" w:rsidRDefault="001C1275" w:rsidP="00C264C5">
      <w:pPr>
        <w:pStyle w:val="ECHRPara"/>
        <w:rPr>
          <w:lang w:eastAsia="fr-FR"/>
        </w:rPr>
      </w:pPr>
      <w:r w:rsidRPr="00165918">
        <w:rPr>
          <w:lang w:eastAsia="fr-FR"/>
        </w:rPr>
        <w:fldChar w:fldCharType="begin"/>
      </w:r>
      <w:r w:rsidRPr="00165918">
        <w:rPr>
          <w:lang w:eastAsia="fr-FR"/>
        </w:rPr>
        <w:instrText xml:space="preserve"> SEQ level0 \*arabic </w:instrText>
      </w:r>
      <w:r w:rsidRPr="00165918">
        <w:rPr>
          <w:lang w:eastAsia="fr-FR"/>
        </w:rPr>
        <w:fldChar w:fldCharType="separate"/>
      </w:r>
      <w:r w:rsidRPr="00165918">
        <w:rPr>
          <w:noProof/>
          <w:lang w:eastAsia="fr-FR"/>
        </w:rPr>
        <w:t>30</w:t>
      </w:r>
      <w:r w:rsidRPr="00165918">
        <w:rPr>
          <w:lang w:eastAsia="fr-FR"/>
        </w:rPr>
        <w:fldChar w:fldCharType="end"/>
      </w:r>
      <w:r w:rsidRPr="00165918">
        <w:rPr>
          <w:lang w:eastAsia="fr-FR"/>
        </w:rPr>
        <w:t>.  </w:t>
      </w:r>
      <w:r>
        <w:rPr>
          <w:rStyle w:val="sb8d990e2"/>
        </w:rPr>
        <w:t>Tytułem wstępu Trybunał stwierdza, że omawiana skarga jest kontynuacją poprzedniej skargi złożonej przez tą samą skarżącą w związku z powództwem cywilnym dotyczącym sporu o prawo własności do nieruchomości. W swoim wyroku z dnia 3 maja 2007 r. dotyczącym tej skargi Trybunał stwierdził, że decyzje sądów krajowych zapadły w ramach postępowania przeprowadzonego przy braku poszanowania przewidzianych w art. 6 ust. 1 gwarancji rzetelnego procesu dotyczących niezależności i bezstronności, pewności prawnej, a także wymogu dostatecznego uzasadnienia (zob. paragrafy 13-15 powyżej). Opierając się przede wszystkim na wyroku Trybunału z dnia 3 maja 2007 r. skarżąca złożyła odwołanie o charakterze wyjątkowym do Sądu Najwyższego, kwestionując wspomniane decyzje. W postępowaniu rozstrzygniętym w marcu 2008 r., będącym przedmiotem jej obecnej skargi, Sąd Najwyższy odrzucił jej odwołanie, stwierdziwszy, że decyzje krajowe były prawidłowe i zasadne.</w:t>
      </w:r>
    </w:p>
    <w:p w:rsidR="001C1275" w:rsidRPr="006D357F" w:rsidRDefault="001C1275" w:rsidP="00C264C5">
      <w:pPr>
        <w:pStyle w:val="ECHRPara"/>
        <w:rPr>
          <w:lang w:eastAsia="fr-FR"/>
        </w:rPr>
      </w:pPr>
      <w:r w:rsidRPr="001C1519">
        <w:rPr>
          <w:lang w:eastAsia="fr-FR"/>
        </w:rPr>
        <w:fldChar w:fldCharType="begin"/>
      </w:r>
      <w:r w:rsidRPr="001C1519">
        <w:rPr>
          <w:lang w:eastAsia="fr-FR"/>
        </w:rPr>
        <w:instrText xml:space="preserve"> SEQ level0 \*arabic </w:instrText>
      </w:r>
      <w:r w:rsidRPr="001C1519">
        <w:rPr>
          <w:lang w:eastAsia="fr-FR"/>
        </w:rPr>
        <w:fldChar w:fldCharType="separate"/>
      </w:r>
      <w:r w:rsidRPr="001C1519">
        <w:rPr>
          <w:noProof/>
          <w:lang w:eastAsia="fr-FR"/>
        </w:rPr>
        <w:t>31</w:t>
      </w:r>
      <w:r w:rsidRPr="001C1519">
        <w:rPr>
          <w:lang w:eastAsia="fr-FR"/>
        </w:rPr>
        <w:fldChar w:fldCharType="end"/>
      </w:r>
      <w:r w:rsidRPr="001C1519">
        <w:rPr>
          <w:lang w:eastAsia="fr-FR"/>
        </w:rPr>
        <w:t>.  </w:t>
      </w:r>
      <w:r>
        <w:rPr>
          <w:rStyle w:val="sb8d990e2"/>
        </w:rPr>
        <w:t xml:space="preserve">Trybunał musi w pierwszej kolejności ustalić, czy art. 46 Konwencji nie wyklucza zajmowania się różnymi skargami wniesionymi przez skarżącą, ze względu na podział uprawnień przewidziany w Konwencji pomiędzy Komitetem Ministrów a Trybunałem w zakresie nadzoru nad wykonaniem wyroków Trybunału (patrz na przykład </w:t>
      </w:r>
      <w:r w:rsidRPr="00213492">
        <w:rPr>
          <w:rStyle w:val="s6b621b36"/>
          <w:i/>
          <w:iCs/>
        </w:rPr>
        <w:t>Lyons i Inni przeciwko Zjednoczonemu Królestwu</w:t>
      </w:r>
      <w:r>
        <w:rPr>
          <w:rStyle w:val="s6b621b36"/>
          <w:i/>
          <w:iCs/>
        </w:rPr>
        <w:t xml:space="preserve"> </w:t>
      </w:r>
      <w:r>
        <w:rPr>
          <w:rStyle w:val="sb8d990e2"/>
        </w:rPr>
        <w:t xml:space="preserve">(dec.), nr </w:t>
      </w:r>
      <w:r w:rsidRPr="00CF5AF9">
        <w:t>15227/03</w:t>
      </w:r>
      <w:r>
        <w:rPr>
          <w:rStyle w:val="sb8d990e2"/>
        </w:rPr>
        <w:t>, ETPC 2003</w:t>
      </w:r>
      <w:r>
        <w:rPr>
          <w:rStyle w:val="sb8d990e2"/>
        </w:rPr>
        <w:noBreakHyphen/>
        <w:t xml:space="preserve">IX). Po drugie, w zakresie, w jakim nie jest to wykluczone [z uwagi na zakres jego kompetencji], Trybunał musi zbadać, czy do postępowania krajowego w sprawie odwołania o charakterze wyjątkowym skarżącej mają zastosowanie gwarancje przewidziane w Konwencji, a w szczególności gwarancje przewidziane w jej art. 6 ust. 1 (patrz </w:t>
      </w:r>
      <w:r w:rsidRPr="00213492">
        <w:rPr>
          <w:rStyle w:val="s6b621b36"/>
          <w:i/>
          <w:iCs/>
        </w:rPr>
        <w:t>Steck-Risch i Inni przeciwko Liechtensteinowi</w:t>
      </w:r>
      <w:r>
        <w:rPr>
          <w:rStyle w:val="sb8d990e2"/>
        </w:rPr>
        <w:t xml:space="preserve"> (dec.), nr </w:t>
      </w:r>
      <w:r w:rsidRPr="00CF5AF9">
        <w:t>29061/08</w:t>
      </w:r>
      <w:r>
        <w:rPr>
          <w:rStyle w:val="sb8d990e2"/>
        </w:rPr>
        <w:t>, 11 maja 2010 r.) oraz – jeżeli tak jest – czy wymogi przewidziane w art. 6 ust. 1 były spełnione.</w:t>
      </w:r>
    </w:p>
    <w:p w:rsidR="001C1275" w:rsidRPr="006D357F" w:rsidRDefault="001C1275" w:rsidP="00C264C5">
      <w:pPr>
        <w:pStyle w:val="ECHRPara"/>
        <w:rPr>
          <w:lang w:eastAsia="fr-FR"/>
        </w:rPr>
      </w:pPr>
      <w:r w:rsidRPr="001C1519">
        <w:rPr>
          <w:lang w:eastAsia="fr-FR"/>
        </w:rPr>
        <w:fldChar w:fldCharType="begin"/>
      </w:r>
      <w:r w:rsidRPr="001C1519">
        <w:rPr>
          <w:lang w:eastAsia="fr-FR"/>
        </w:rPr>
        <w:instrText xml:space="preserve"> SEQ level0 \*arabic </w:instrText>
      </w:r>
      <w:r w:rsidRPr="001C1519">
        <w:rPr>
          <w:lang w:eastAsia="fr-FR"/>
        </w:rPr>
        <w:fldChar w:fldCharType="separate"/>
      </w:r>
      <w:r w:rsidRPr="001C1519">
        <w:rPr>
          <w:noProof/>
          <w:lang w:eastAsia="fr-FR"/>
        </w:rPr>
        <w:t>32</w:t>
      </w:r>
      <w:r w:rsidRPr="001C1519">
        <w:rPr>
          <w:lang w:eastAsia="fr-FR"/>
        </w:rPr>
        <w:fldChar w:fldCharType="end"/>
      </w:r>
      <w:r w:rsidRPr="001C1519">
        <w:rPr>
          <w:lang w:eastAsia="fr-FR"/>
        </w:rPr>
        <w:t>.  </w:t>
      </w:r>
      <w:r>
        <w:rPr>
          <w:rStyle w:val="sb8d990e2"/>
        </w:rPr>
        <w:t>Na wstępie należy stwierdzić, że zarzuty skarżącej są przede wszystkim skierowane przeciwko postępowaniu w sprawie jej odwołania</w:t>
      </w:r>
      <w:r w:rsidRPr="008E46CF">
        <w:rPr>
          <w:rStyle w:val="sb8d990e2"/>
        </w:rPr>
        <w:t xml:space="preserve"> </w:t>
      </w:r>
      <w:r>
        <w:rPr>
          <w:rStyle w:val="sb8d990e2"/>
        </w:rPr>
        <w:t>o charakterze wyjątkowym, wniesionego dnia 14 czerwca 2007 r. i oddalonego przez Sąd Najwyższy dnia 14 marca 2008 r. Mając na uwadze naturę i wynik kolejnego podobnego odwołania skarżącej, oddalonego przez Sąd Najwyższy w dniu 5 czerwca 2008 r., Trybunał weźmie również pod uwagę to późniejsze postępowanie (zob. paragrafy 55-56 poniżej).</w:t>
      </w:r>
    </w:p>
    <w:p w:rsidR="001C1275" w:rsidRPr="00FA0A40" w:rsidRDefault="001C1275" w:rsidP="0029057E">
      <w:pPr>
        <w:pStyle w:val="ECHRHeading2"/>
        <w:rPr>
          <w:lang w:val="pl-PL" w:eastAsia="fr-FR"/>
        </w:rPr>
      </w:pPr>
      <w:r w:rsidRPr="001C1519">
        <w:rPr>
          <w:lang w:val="pl-PL" w:eastAsia="fr-FR"/>
        </w:rPr>
        <w:t>A.  </w:t>
      </w:r>
      <w:r w:rsidRPr="001C1519">
        <w:rPr>
          <w:rStyle w:val="s7d2086b4"/>
          <w:lang w:val="pl-PL"/>
        </w:rPr>
        <w:t>Czy w świetle art. 46 Konwencji Trybunał nie może rozważyć zarzutów przedstawionych w omawianej skardze</w:t>
      </w:r>
    </w:p>
    <w:p w:rsidR="001C1275" w:rsidRPr="001C1519" w:rsidRDefault="001C1275" w:rsidP="0029057E">
      <w:pPr>
        <w:pStyle w:val="ECHRHeading3"/>
        <w:rPr>
          <w:lang w:val="pl-PL"/>
        </w:rPr>
      </w:pPr>
      <w:r w:rsidRPr="001C1519">
        <w:rPr>
          <w:lang w:val="pl-PL"/>
        </w:rPr>
        <w:t>1.  Zasady ogólne</w:t>
      </w:r>
    </w:p>
    <w:p w:rsidR="001C1275" w:rsidRPr="000A6933" w:rsidRDefault="001C1275" w:rsidP="0029057E">
      <w:pPr>
        <w:pStyle w:val="ECHRPara"/>
        <w:rPr>
          <w:i/>
          <w:iCs/>
        </w:rPr>
      </w:pPr>
      <w:r w:rsidRPr="001C1519">
        <w:rPr>
          <w:lang w:eastAsia="fr-FR"/>
        </w:rPr>
        <w:fldChar w:fldCharType="begin"/>
      </w:r>
      <w:r w:rsidRPr="001C1519">
        <w:rPr>
          <w:lang w:eastAsia="fr-FR"/>
        </w:rPr>
        <w:instrText xml:space="preserve"> SEQ level0 \*arabic </w:instrText>
      </w:r>
      <w:r w:rsidRPr="001C1519">
        <w:rPr>
          <w:lang w:eastAsia="fr-FR"/>
        </w:rPr>
        <w:fldChar w:fldCharType="separate"/>
      </w:r>
      <w:r w:rsidRPr="001C1519">
        <w:rPr>
          <w:noProof/>
          <w:lang w:eastAsia="fr-FR"/>
        </w:rPr>
        <w:t>33</w:t>
      </w:r>
      <w:r w:rsidRPr="001C1519">
        <w:rPr>
          <w:lang w:eastAsia="fr-FR"/>
        </w:rPr>
        <w:fldChar w:fldCharType="end"/>
      </w:r>
      <w:r w:rsidRPr="001C1519">
        <w:rPr>
          <w:lang w:eastAsia="fr-FR"/>
        </w:rPr>
        <w:t>.  </w:t>
      </w:r>
      <w:r>
        <w:rPr>
          <w:rStyle w:val="sb8d990e2"/>
        </w:rPr>
        <w:t xml:space="preserve">Kwestia spełnienia przez Wysokie Układające się Strony wymagań przewidzianych w wyrokach nie mieści się w zakresie właściwości Trybunału, jeżeli nie jest podnoszona w kontekście "procedury w sprawie naruszenia" przewidzianej w art. 46 ust. 4 i 5 Konwencji (patrz </w:t>
      </w:r>
      <w:r w:rsidRPr="00B102E0">
        <w:rPr>
          <w:rStyle w:val="s6b621b36"/>
          <w:i/>
          <w:iCs/>
        </w:rPr>
        <w:t>The United Macedonian Organisation Ilinden – PIRIN i Inni przeciwko Bułgarii</w:t>
      </w:r>
      <w:r>
        <w:rPr>
          <w:rStyle w:val="s6b621b36"/>
        </w:rPr>
        <w:t xml:space="preserve"> (nr 2)</w:t>
      </w:r>
      <w:r>
        <w:rPr>
          <w:rStyle w:val="sb8d990e2"/>
        </w:rPr>
        <w:t xml:space="preserve">, nr </w:t>
      </w:r>
      <w:r w:rsidRPr="00CF5AF9">
        <w:t>41561/07</w:t>
      </w:r>
      <w:r>
        <w:rPr>
          <w:rStyle w:val="sb8d990e2"/>
        </w:rPr>
        <w:t xml:space="preserve"> i </w:t>
      </w:r>
      <w:r w:rsidRPr="00CF5AF9">
        <w:t>20972/08</w:t>
      </w:r>
      <w:r>
        <w:rPr>
          <w:rStyle w:val="sb8d990e2"/>
        </w:rPr>
        <w:t xml:space="preserve">,§ 56, 18 października 2011 r.). Na mocy art. 46 ust. 2 Komitet Ministrów posiada uprawnienia do nadzorowania wykonania wyroków Trybunału oraz oceny środków podejmowanych przez pozwane Państwa. Niemniej rola Komitetu Ministrów w sferze wykonania wyroków Trybunału nie uniemożliwia Trybunałowi rozpatrzenia nowej skargi dotyczącej środków podjętych przez pozwane Państwo w ramach wykonania wyroku, jeżeli skarga ta zawiera adekwatne nowe informacje dotyczące kwestii nierozstrzygniętych w początkowym wyroku (patrz </w:t>
      </w:r>
      <w:r w:rsidRPr="00B102E0">
        <w:rPr>
          <w:rStyle w:val="s6b621b36"/>
          <w:i/>
          <w:iCs/>
        </w:rPr>
        <w:t>Verein gegen Tierfabriken Schweiz (VgT) przeciwko Szwajcarii</w:t>
      </w:r>
      <w:r>
        <w:rPr>
          <w:rStyle w:val="s6b621b36"/>
        </w:rPr>
        <w:t xml:space="preserve"> (nr 2) [Wielka Izba], nr </w:t>
      </w:r>
      <w:r w:rsidRPr="00CF5AF9">
        <w:t>32772/02</w:t>
      </w:r>
      <w:r>
        <w:rPr>
          <w:rStyle w:val="s6b621b36"/>
        </w:rPr>
        <w:t>, §§ 61</w:t>
      </w:r>
      <w:r>
        <w:rPr>
          <w:rStyle w:val="s6b621b36"/>
        </w:rPr>
        <w:noBreakHyphen/>
        <w:t>63, ETPC 2009).</w:t>
      </w:r>
    </w:p>
    <w:p w:rsidR="001C1275" w:rsidRPr="0000554B" w:rsidRDefault="001C1275" w:rsidP="00C264C5">
      <w:pPr>
        <w:pStyle w:val="ECHRPara"/>
        <w:rPr>
          <w:lang w:eastAsia="fr-FR"/>
        </w:rPr>
      </w:pPr>
      <w:r w:rsidRPr="001C1519">
        <w:rPr>
          <w:lang w:eastAsia="fr-FR"/>
        </w:rPr>
        <w:fldChar w:fldCharType="begin"/>
      </w:r>
      <w:r w:rsidRPr="001C1519">
        <w:rPr>
          <w:lang w:eastAsia="fr-FR"/>
        </w:rPr>
        <w:instrText xml:space="preserve"> SEQ level0 \*arabic </w:instrText>
      </w:r>
      <w:r w:rsidRPr="001C1519">
        <w:rPr>
          <w:lang w:eastAsia="fr-FR"/>
        </w:rPr>
        <w:fldChar w:fldCharType="separate"/>
      </w:r>
      <w:r w:rsidRPr="001C1519">
        <w:rPr>
          <w:noProof/>
          <w:lang w:eastAsia="fr-FR"/>
        </w:rPr>
        <w:t>34</w:t>
      </w:r>
      <w:r w:rsidRPr="001C1519">
        <w:rPr>
          <w:lang w:eastAsia="fr-FR"/>
        </w:rPr>
        <w:fldChar w:fldCharType="end"/>
      </w:r>
      <w:r w:rsidRPr="001C1519">
        <w:rPr>
          <w:lang w:eastAsia="fr-FR"/>
        </w:rPr>
        <w:t>.  </w:t>
      </w:r>
      <w:r>
        <w:rPr>
          <w:rStyle w:val="sb8d990e2"/>
        </w:rPr>
        <w:t xml:space="preserve">Odpowiednie ogólne zasady zostały podsumowane w sprawie </w:t>
      </w:r>
      <w:r w:rsidRPr="006E0D51">
        <w:rPr>
          <w:rStyle w:val="s6b621b36"/>
          <w:i/>
          <w:iCs/>
        </w:rPr>
        <w:t>Egmez przeciwko Cyprowi</w:t>
      </w:r>
      <w:r>
        <w:rPr>
          <w:rStyle w:val="sb8d990e2"/>
        </w:rPr>
        <w:t xml:space="preserve"> (dec.), nr </w:t>
      </w:r>
      <w:r w:rsidRPr="00CF5AF9">
        <w:t>12214/07</w:t>
      </w:r>
      <w:r>
        <w:rPr>
          <w:rStyle w:val="sb8d990e2"/>
        </w:rPr>
        <w:t>, §§ 48-56, 18 września 2012 r.), w sposób następujący:</w:t>
      </w:r>
    </w:p>
    <w:p w:rsidR="001C1275" w:rsidRPr="009F0211" w:rsidRDefault="001C1275" w:rsidP="00115A21">
      <w:pPr>
        <w:pStyle w:val="s9e9b0cd7"/>
        <w:spacing w:before="120" w:beforeAutospacing="0" w:after="120" w:afterAutospacing="0"/>
        <w:ind w:left="440" w:firstLine="110"/>
        <w:jc w:val="both"/>
        <w:rPr>
          <w:sz w:val="20"/>
          <w:szCs w:val="20"/>
        </w:rPr>
      </w:pPr>
      <w:r>
        <w:rPr>
          <w:rStyle w:val="sfbbfee58"/>
          <w:sz w:val="20"/>
          <w:szCs w:val="20"/>
        </w:rPr>
        <w:t>„</w:t>
      </w:r>
      <w:r w:rsidRPr="009F0211">
        <w:rPr>
          <w:rStyle w:val="sfbbfee58"/>
          <w:sz w:val="20"/>
          <w:szCs w:val="20"/>
        </w:rPr>
        <w:t xml:space="preserve">48. Trybunał powtarza, że stwierdzenie naruszeń w jego wyrokach ma co do zasady charakter deklaratywny (patrz </w:t>
      </w:r>
      <w:r w:rsidRPr="006E0D51">
        <w:rPr>
          <w:rStyle w:val="s1a844bc0"/>
          <w:i/>
          <w:iCs/>
          <w:sz w:val="20"/>
          <w:szCs w:val="20"/>
        </w:rPr>
        <w:t>Krčmář i Inni przeciwko Republice Czeskiej</w:t>
      </w:r>
      <w:r w:rsidRPr="009F0211">
        <w:rPr>
          <w:rStyle w:val="sfbbfee58"/>
          <w:sz w:val="20"/>
          <w:szCs w:val="20"/>
        </w:rPr>
        <w:t xml:space="preserve"> (dec.), nr </w:t>
      </w:r>
      <w:r w:rsidRPr="00CF5AF9">
        <w:rPr>
          <w:sz w:val="20"/>
          <w:szCs w:val="20"/>
        </w:rPr>
        <w:t>69190/01</w:t>
      </w:r>
      <w:r w:rsidRPr="009F0211">
        <w:rPr>
          <w:rStyle w:val="sfbbfee58"/>
          <w:sz w:val="20"/>
          <w:szCs w:val="20"/>
        </w:rPr>
        <w:t xml:space="preserve">, 30 marca 2004 r.; </w:t>
      </w:r>
      <w:r w:rsidRPr="006E0D51">
        <w:rPr>
          <w:rStyle w:val="s1a844bc0"/>
          <w:i/>
          <w:iCs/>
          <w:sz w:val="20"/>
          <w:szCs w:val="20"/>
        </w:rPr>
        <w:t>Lyons i Inni przeciwko Zjednoczonemu Królestwu</w:t>
      </w:r>
      <w:r w:rsidRPr="009F0211">
        <w:rPr>
          <w:rStyle w:val="sfbbfee58"/>
          <w:sz w:val="20"/>
          <w:szCs w:val="20"/>
        </w:rPr>
        <w:t xml:space="preserve"> (dec.), nr </w:t>
      </w:r>
      <w:r w:rsidRPr="00CF5AF9">
        <w:rPr>
          <w:sz w:val="20"/>
          <w:szCs w:val="20"/>
        </w:rPr>
        <w:t>15227/03</w:t>
      </w:r>
      <w:r w:rsidRPr="009F0211">
        <w:rPr>
          <w:rStyle w:val="sfbbfee58"/>
          <w:sz w:val="20"/>
          <w:szCs w:val="20"/>
        </w:rPr>
        <w:t xml:space="preserve">, ETPC 2003-IX; a także </w:t>
      </w:r>
      <w:r w:rsidRPr="006E0D51">
        <w:rPr>
          <w:rStyle w:val="s1a844bc0"/>
          <w:i/>
          <w:iCs/>
          <w:sz w:val="20"/>
          <w:szCs w:val="20"/>
        </w:rPr>
        <w:t>Marckx przeciwko Belgi</w:t>
      </w:r>
      <w:r w:rsidRPr="009F0211">
        <w:rPr>
          <w:rStyle w:val="s1a844bc0"/>
          <w:sz w:val="20"/>
          <w:szCs w:val="20"/>
        </w:rPr>
        <w:t>i</w:t>
      </w:r>
      <w:r w:rsidRPr="009F0211">
        <w:rPr>
          <w:rStyle w:val="sfbbfee58"/>
          <w:sz w:val="20"/>
          <w:szCs w:val="20"/>
        </w:rPr>
        <w:t xml:space="preserve">, 13 czerwca 1979 r., § 58, Seria A nr 31) oraz że na mocy </w:t>
      </w:r>
      <w:r>
        <w:rPr>
          <w:rStyle w:val="sfbbfee58"/>
          <w:sz w:val="20"/>
          <w:szCs w:val="20"/>
        </w:rPr>
        <w:t>art.</w:t>
      </w:r>
      <w:r w:rsidRPr="009F0211">
        <w:rPr>
          <w:rStyle w:val="sfbbfee58"/>
          <w:sz w:val="20"/>
          <w:szCs w:val="20"/>
        </w:rPr>
        <w:t xml:space="preserve"> 46 Konwencji, Układające się Państwa zobowiązują się</w:t>
      </w:r>
      <w:r>
        <w:rPr>
          <w:rStyle w:val="sfbbfee58"/>
          <w:sz w:val="20"/>
          <w:szCs w:val="20"/>
        </w:rPr>
        <w:t xml:space="preserve"> przestrzegać</w:t>
      </w:r>
      <w:r w:rsidRPr="009F0211">
        <w:rPr>
          <w:rStyle w:val="sfbbfee58"/>
          <w:sz w:val="20"/>
          <w:szCs w:val="20"/>
        </w:rPr>
        <w:t xml:space="preserve"> ostatecznych wyroków Trybunału w każdej sprawie, w której są one stroną; obowiązek sprawowania nadzoru nad wykonywaniem przez Państwa ciążących na nich zobowiązań powierzono Komitetowi Ministrów (patrz, </w:t>
      </w:r>
      <w:r w:rsidRPr="009F0211">
        <w:rPr>
          <w:rStyle w:val="sfbbfee58"/>
          <w:i/>
          <w:iCs/>
          <w:sz w:val="20"/>
          <w:szCs w:val="20"/>
        </w:rPr>
        <w:t>mutatis mutandis</w:t>
      </w:r>
      <w:r w:rsidRPr="009F0211">
        <w:rPr>
          <w:rStyle w:val="sfbbfee58"/>
          <w:sz w:val="20"/>
          <w:szCs w:val="20"/>
        </w:rPr>
        <w:t xml:space="preserve">, </w:t>
      </w:r>
      <w:r w:rsidRPr="006E0D51">
        <w:rPr>
          <w:rStyle w:val="s1a844bc0"/>
          <w:i/>
          <w:iCs/>
          <w:sz w:val="20"/>
          <w:szCs w:val="20"/>
        </w:rPr>
        <w:t>Papamichalopoulos i Inni przeciwko Grecji</w:t>
      </w:r>
      <w:r w:rsidRPr="009F0211">
        <w:rPr>
          <w:rStyle w:val="sfbbfee58"/>
          <w:sz w:val="20"/>
          <w:szCs w:val="20"/>
        </w:rPr>
        <w:t xml:space="preserve"> (art. 50), 31 października 1995 r., § 34, Seria A nr 330-B). Oznacza to między innymi, że wyrok Trybunału stwierdzający naruszenie Konwencji lub Protokołów do niej nakłada na pozwane Państwo nie tylko prawne zobowiązanie do zapłaty kwot zasądzonych z tytułu </w:t>
      </w:r>
      <w:r>
        <w:rPr>
          <w:rStyle w:val="sfbbfee58"/>
          <w:sz w:val="20"/>
          <w:szCs w:val="20"/>
        </w:rPr>
        <w:t>słusznego</w:t>
      </w:r>
      <w:r w:rsidRPr="009F0211">
        <w:rPr>
          <w:rStyle w:val="sfbbfee58"/>
          <w:sz w:val="20"/>
          <w:szCs w:val="20"/>
        </w:rPr>
        <w:t xml:space="preserve"> zadośćuczynienia, lecz także obowiązek przyjęcia, pod nadzorem Komitetu Ministrów, </w:t>
      </w:r>
      <w:r>
        <w:rPr>
          <w:rStyle w:val="sfbbfee58"/>
          <w:sz w:val="20"/>
          <w:szCs w:val="20"/>
        </w:rPr>
        <w:t xml:space="preserve">generalnych </w:t>
      </w:r>
      <w:r w:rsidRPr="009F0211">
        <w:rPr>
          <w:rStyle w:val="sfbbfee58"/>
          <w:sz w:val="20"/>
          <w:szCs w:val="20"/>
        </w:rPr>
        <w:t xml:space="preserve">lub – tam, gdzie jest to stosowne – indywidualnych środków, które należy zastosować w krajowym porządku prawnym, aby zakończyć stwierdzony przez Trybunał stan naruszenia i zapewnić zadośćuczynienie – w możliwie największym stopniu – za jego skutki (zob. </w:t>
      </w:r>
      <w:r w:rsidRPr="006E0D51">
        <w:rPr>
          <w:rStyle w:val="s1a844bc0"/>
          <w:i/>
          <w:iCs/>
          <w:sz w:val="20"/>
          <w:szCs w:val="20"/>
        </w:rPr>
        <w:t>Pisano przeciwko Włochom</w:t>
      </w:r>
      <w:r w:rsidRPr="009F0211">
        <w:rPr>
          <w:rStyle w:val="s1a844bc0"/>
          <w:sz w:val="20"/>
          <w:szCs w:val="20"/>
        </w:rPr>
        <w:t xml:space="preserve"> </w:t>
      </w:r>
      <w:r w:rsidRPr="009F0211">
        <w:rPr>
          <w:rStyle w:val="sfbbfee58"/>
          <w:sz w:val="20"/>
          <w:szCs w:val="20"/>
        </w:rPr>
        <w:t>(skreślenie) [</w:t>
      </w:r>
      <w:r>
        <w:rPr>
          <w:rStyle w:val="sfbbfee58"/>
          <w:sz w:val="20"/>
          <w:szCs w:val="20"/>
        </w:rPr>
        <w:t>Wielka Izba</w:t>
      </w:r>
      <w:r w:rsidRPr="009F0211">
        <w:rPr>
          <w:rStyle w:val="sfbbfee58"/>
          <w:sz w:val="20"/>
          <w:szCs w:val="20"/>
        </w:rPr>
        <w:t xml:space="preserve">], nr </w:t>
      </w:r>
      <w:r w:rsidRPr="00CF5AF9">
        <w:rPr>
          <w:sz w:val="20"/>
          <w:szCs w:val="20"/>
        </w:rPr>
        <w:t>36732/97</w:t>
      </w:r>
      <w:r w:rsidRPr="009F0211">
        <w:rPr>
          <w:rStyle w:val="sfbbfee58"/>
          <w:sz w:val="20"/>
          <w:szCs w:val="20"/>
        </w:rPr>
        <w:t xml:space="preserve">, § 43, 24 października 2002 r., oraz </w:t>
      </w:r>
      <w:r w:rsidRPr="006E0D51">
        <w:rPr>
          <w:rStyle w:val="s1a844bc0"/>
          <w:i/>
          <w:iCs/>
          <w:sz w:val="20"/>
          <w:szCs w:val="20"/>
        </w:rPr>
        <w:t>Scozzari i Giunta przeciwko Włochom</w:t>
      </w:r>
      <w:r w:rsidRPr="009F0211">
        <w:rPr>
          <w:rStyle w:val="sfbbfee58"/>
          <w:sz w:val="20"/>
          <w:szCs w:val="20"/>
        </w:rPr>
        <w:t xml:space="preserve"> [</w:t>
      </w:r>
      <w:r>
        <w:rPr>
          <w:rStyle w:val="sfbbfee58"/>
          <w:sz w:val="20"/>
          <w:szCs w:val="20"/>
        </w:rPr>
        <w:t>Wielka Izba</w:t>
      </w:r>
      <w:r w:rsidRPr="009F0211">
        <w:rPr>
          <w:rStyle w:val="sfbbfee58"/>
          <w:sz w:val="20"/>
          <w:szCs w:val="20"/>
        </w:rPr>
        <w:t xml:space="preserve">], nr </w:t>
      </w:r>
      <w:r w:rsidRPr="00CF5AF9">
        <w:rPr>
          <w:sz w:val="20"/>
          <w:szCs w:val="20"/>
        </w:rPr>
        <w:t>39221/98</w:t>
      </w:r>
      <w:r w:rsidRPr="009F0211">
        <w:rPr>
          <w:rStyle w:val="sfbbfee58"/>
          <w:sz w:val="20"/>
          <w:szCs w:val="20"/>
        </w:rPr>
        <w:t xml:space="preserve"> i </w:t>
      </w:r>
      <w:r w:rsidRPr="00CF5AF9">
        <w:rPr>
          <w:sz w:val="20"/>
          <w:szCs w:val="20"/>
        </w:rPr>
        <w:t>41963/98</w:t>
      </w:r>
      <w:r w:rsidRPr="009F0211">
        <w:rPr>
          <w:rStyle w:val="sfbbfee58"/>
          <w:sz w:val="20"/>
          <w:szCs w:val="20"/>
        </w:rPr>
        <w:t xml:space="preserve">, § 249, ETPC 2000-VIII). Z zastrzeżeniem funkcji nadzorczej Komitetu Ministrów, wybór środka, za pomocą którego spełnione zostaną zobowiązania prawne Państwa pozwanego wynikające z art. 46 Konwencji, pozostaje w gestii tego Państwa przy założeniu, że środki te będą zgodne z wnioskami zawartymi w wyroku Trybunału (zob. przywołany powyżej wyrok w sprawie </w:t>
      </w:r>
      <w:r w:rsidRPr="00086B80">
        <w:rPr>
          <w:rStyle w:val="sfbbfee58"/>
          <w:i/>
          <w:iCs/>
          <w:sz w:val="20"/>
          <w:szCs w:val="20"/>
        </w:rPr>
        <w:t>Scozzari i Giunta</w:t>
      </w:r>
      <w:r w:rsidRPr="009F0211">
        <w:rPr>
          <w:rStyle w:val="sfbbfee58"/>
          <w:sz w:val="20"/>
          <w:szCs w:val="20"/>
        </w:rPr>
        <w:t>, § 249). Ze swojej strony Trybunał nie może przyjmować żadnej roli w tym dialogu (</w:t>
      </w:r>
      <w:r w:rsidRPr="00086B80">
        <w:rPr>
          <w:rStyle w:val="s1a844bc0"/>
          <w:i/>
          <w:iCs/>
          <w:sz w:val="20"/>
          <w:szCs w:val="20"/>
        </w:rPr>
        <w:t>Lyons i Inni</w:t>
      </w:r>
      <w:r w:rsidRPr="009F0211">
        <w:rPr>
          <w:rStyle w:val="sfbbfee58"/>
          <w:sz w:val="20"/>
          <w:szCs w:val="20"/>
        </w:rPr>
        <w:t xml:space="preserve">, </w:t>
      </w:r>
      <w:r w:rsidRPr="00115A21">
        <w:rPr>
          <w:rStyle w:val="sfbbfee58"/>
          <w:i/>
          <w:iCs/>
          <w:sz w:val="20"/>
          <w:szCs w:val="20"/>
        </w:rPr>
        <w:t>op. cit.</w:t>
      </w:r>
      <w:r w:rsidRPr="009F0211">
        <w:rPr>
          <w:rStyle w:val="sfbbfee58"/>
          <w:sz w:val="20"/>
          <w:szCs w:val="20"/>
        </w:rPr>
        <w:t>).</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fbbfee58"/>
          <w:sz w:val="20"/>
          <w:szCs w:val="20"/>
        </w:rPr>
        <w:t xml:space="preserve">49. Chociaż Trybunał w pewnych sytuacjach może wskazać określony środek zaradczy lub środek innego rodzaju do podjęcia przez pozwane Państwo (patrz na przykład </w:t>
      </w:r>
      <w:r w:rsidRPr="006E0D51">
        <w:rPr>
          <w:rStyle w:val="sfbbfee58"/>
          <w:i/>
          <w:iCs/>
          <w:sz w:val="20"/>
          <w:szCs w:val="20"/>
        </w:rPr>
        <w:t>Assanidze przeciwko Gruzji</w:t>
      </w:r>
      <w:r w:rsidRPr="009F0211">
        <w:rPr>
          <w:sz w:val="20"/>
          <w:szCs w:val="20"/>
        </w:rPr>
        <w:t xml:space="preserve"> [</w:t>
      </w:r>
      <w:r>
        <w:rPr>
          <w:sz w:val="20"/>
          <w:szCs w:val="20"/>
        </w:rPr>
        <w:t>Wielka Izba</w:t>
      </w:r>
      <w:r w:rsidRPr="009F0211">
        <w:rPr>
          <w:sz w:val="20"/>
          <w:szCs w:val="20"/>
        </w:rPr>
        <w:t xml:space="preserve">], nr </w:t>
      </w:r>
      <w:r w:rsidRPr="00CF5AF9">
        <w:rPr>
          <w:sz w:val="20"/>
          <w:szCs w:val="20"/>
        </w:rPr>
        <w:t>71503/01</w:t>
      </w:r>
      <w:r w:rsidRPr="009F0211">
        <w:rPr>
          <w:sz w:val="20"/>
          <w:szCs w:val="20"/>
        </w:rPr>
        <w:t xml:space="preserve">, punkt 14 </w:t>
      </w:r>
      <w:r>
        <w:rPr>
          <w:sz w:val="20"/>
          <w:szCs w:val="20"/>
        </w:rPr>
        <w:t xml:space="preserve">sentencji </w:t>
      </w:r>
      <w:r w:rsidRPr="009F0211">
        <w:rPr>
          <w:sz w:val="20"/>
          <w:szCs w:val="20"/>
        </w:rPr>
        <w:t xml:space="preserve">wyroku, ETPC 2004-II; </w:t>
      </w:r>
      <w:r w:rsidRPr="006E0D51">
        <w:rPr>
          <w:rStyle w:val="s1a844bc0"/>
          <w:i/>
          <w:iCs/>
          <w:sz w:val="20"/>
          <w:szCs w:val="20"/>
        </w:rPr>
        <w:t>Gençel przeciwko Turcji</w:t>
      </w:r>
      <w:r w:rsidRPr="009F0211">
        <w:rPr>
          <w:sz w:val="20"/>
          <w:szCs w:val="20"/>
        </w:rPr>
        <w:t xml:space="preserve">, nr </w:t>
      </w:r>
      <w:r w:rsidRPr="00CF5AF9">
        <w:rPr>
          <w:sz w:val="20"/>
          <w:szCs w:val="20"/>
        </w:rPr>
        <w:t>53431/99</w:t>
      </w:r>
      <w:r w:rsidRPr="009F0211">
        <w:rPr>
          <w:sz w:val="20"/>
          <w:szCs w:val="20"/>
        </w:rPr>
        <w:t xml:space="preserve">, § 27, 23 października 2003 r.), ocena wdrożenia takich środków na mocy art. 46 </w:t>
      </w:r>
      <w:r w:rsidRPr="00374757">
        <w:rPr>
          <w:sz w:val="20"/>
          <w:szCs w:val="20"/>
        </w:rPr>
        <w:t xml:space="preserve">ust. </w:t>
      </w:r>
      <w:r w:rsidRPr="009F0211">
        <w:rPr>
          <w:sz w:val="20"/>
          <w:szCs w:val="20"/>
        </w:rPr>
        <w:t xml:space="preserve">2 Konwencji wciąż należy do Komitetu Ministrów (patrz </w:t>
      </w:r>
      <w:r w:rsidRPr="006E0D51">
        <w:rPr>
          <w:rStyle w:val="s1a844bc0"/>
          <w:i/>
          <w:iCs/>
          <w:sz w:val="20"/>
          <w:szCs w:val="20"/>
        </w:rPr>
        <w:t>Greens i M.T. przeciwko Zjednoczonemu Królestwu</w:t>
      </w:r>
      <w:r w:rsidRPr="009F0211">
        <w:rPr>
          <w:sz w:val="20"/>
          <w:szCs w:val="20"/>
        </w:rPr>
        <w:t xml:space="preserve">, </w:t>
      </w:r>
      <w:r>
        <w:rPr>
          <w:sz w:val="20"/>
          <w:szCs w:val="20"/>
        </w:rPr>
        <w:t>nr</w:t>
      </w:r>
      <w:r w:rsidRPr="009F0211">
        <w:rPr>
          <w:sz w:val="20"/>
          <w:szCs w:val="20"/>
        </w:rPr>
        <w:t xml:space="preserve"> </w:t>
      </w:r>
      <w:r w:rsidRPr="00CF5AF9">
        <w:rPr>
          <w:sz w:val="20"/>
          <w:szCs w:val="20"/>
        </w:rPr>
        <w:t>60041/08</w:t>
      </w:r>
      <w:r w:rsidRPr="009F0211">
        <w:rPr>
          <w:sz w:val="20"/>
          <w:szCs w:val="20"/>
        </w:rPr>
        <w:t xml:space="preserve"> i </w:t>
      </w:r>
      <w:r w:rsidRPr="00CF5AF9">
        <w:rPr>
          <w:sz w:val="20"/>
          <w:szCs w:val="20"/>
        </w:rPr>
        <w:t>60054/08</w:t>
      </w:r>
      <w:r w:rsidRPr="009F0211">
        <w:rPr>
          <w:sz w:val="20"/>
          <w:szCs w:val="20"/>
        </w:rPr>
        <w:t xml:space="preserve">, § 107, 23 listopada 2010 r.; </w:t>
      </w:r>
      <w:r w:rsidRPr="006E0D51">
        <w:rPr>
          <w:rStyle w:val="s1a844bc0"/>
          <w:i/>
          <w:iCs/>
          <w:sz w:val="20"/>
          <w:szCs w:val="20"/>
        </w:rPr>
        <w:t>Suljagić przeciwko Bośni i Hercegowinie</w:t>
      </w:r>
      <w:r w:rsidRPr="009F0211">
        <w:rPr>
          <w:sz w:val="20"/>
          <w:szCs w:val="20"/>
        </w:rPr>
        <w:t xml:space="preserve">, nr </w:t>
      </w:r>
      <w:r w:rsidRPr="00CF5AF9">
        <w:rPr>
          <w:sz w:val="20"/>
          <w:szCs w:val="20"/>
        </w:rPr>
        <w:t>27912/02</w:t>
      </w:r>
      <w:r w:rsidRPr="009F0211">
        <w:rPr>
          <w:sz w:val="20"/>
          <w:szCs w:val="20"/>
        </w:rPr>
        <w:t xml:space="preserve">, § 61, 3 listopada 2009 r.; </w:t>
      </w:r>
      <w:r w:rsidRPr="006E0D51">
        <w:rPr>
          <w:rStyle w:val="s1a844bc0"/>
          <w:i/>
          <w:iCs/>
          <w:sz w:val="20"/>
          <w:szCs w:val="20"/>
        </w:rPr>
        <w:t>Hutten Czapska przeciwko Polsce</w:t>
      </w:r>
      <w:r w:rsidRPr="009F0211">
        <w:rPr>
          <w:rStyle w:val="s1a844bc0"/>
          <w:sz w:val="20"/>
          <w:szCs w:val="20"/>
        </w:rPr>
        <w:t xml:space="preserve"> </w:t>
      </w:r>
      <w:r w:rsidRPr="009F0211">
        <w:rPr>
          <w:sz w:val="20"/>
          <w:szCs w:val="20"/>
        </w:rPr>
        <w:t>(</w:t>
      </w:r>
      <w:r>
        <w:rPr>
          <w:sz w:val="20"/>
          <w:szCs w:val="20"/>
        </w:rPr>
        <w:t>ugoda</w:t>
      </w:r>
      <w:r w:rsidRPr="009F0211">
        <w:rPr>
          <w:sz w:val="20"/>
          <w:szCs w:val="20"/>
        </w:rPr>
        <w:t>) [</w:t>
      </w:r>
      <w:r>
        <w:rPr>
          <w:sz w:val="20"/>
          <w:szCs w:val="20"/>
        </w:rPr>
        <w:t>Wielka Izba</w:t>
      </w:r>
      <w:r w:rsidRPr="009F0211">
        <w:rPr>
          <w:sz w:val="20"/>
          <w:szCs w:val="20"/>
        </w:rPr>
        <w:t xml:space="preserve">], nr </w:t>
      </w:r>
      <w:r w:rsidRPr="00CF5AF9">
        <w:rPr>
          <w:sz w:val="20"/>
          <w:szCs w:val="20"/>
        </w:rPr>
        <w:t>35014/97</w:t>
      </w:r>
      <w:r w:rsidRPr="009F0211">
        <w:rPr>
          <w:sz w:val="20"/>
          <w:szCs w:val="20"/>
        </w:rPr>
        <w:t xml:space="preserve">, § 42, 28 kwietnia 2008 r.; </w:t>
      </w:r>
      <w:r w:rsidRPr="004923BC">
        <w:rPr>
          <w:rStyle w:val="s1a844bc0"/>
          <w:i/>
          <w:iCs/>
          <w:sz w:val="20"/>
          <w:szCs w:val="20"/>
        </w:rPr>
        <w:t>Hutten Czapska przeciwko Polsce</w:t>
      </w:r>
      <w:r w:rsidRPr="009F0211">
        <w:rPr>
          <w:sz w:val="20"/>
          <w:szCs w:val="20"/>
        </w:rPr>
        <w:t xml:space="preserve"> [</w:t>
      </w:r>
      <w:r>
        <w:rPr>
          <w:sz w:val="20"/>
          <w:szCs w:val="20"/>
        </w:rPr>
        <w:t>Wielka Izba</w:t>
      </w:r>
      <w:r w:rsidRPr="009F0211">
        <w:rPr>
          <w:sz w:val="20"/>
          <w:szCs w:val="20"/>
        </w:rPr>
        <w:t xml:space="preserve">], nr </w:t>
      </w:r>
      <w:r w:rsidRPr="00CF5AF9">
        <w:rPr>
          <w:sz w:val="20"/>
          <w:szCs w:val="20"/>
        </w:rPr>
        <w:t>35014/97</w:t>
      </w:r>
      <w:r w:rsidRPr="009F0211">
        <w:rPr>
          <w:sz w:val="20"/>
          <w:szCs w:val="20"/>
        </w:rPr>
        <w:t xml:space="preserve">, §§ 231-239 oraz </w:t>
      </w:r>
      <w:r>
        <w:rPr>
          <w:sz w:val="20"/>
          <w:szCs w:val="20"/>
        </w:rPr>
        <w:t>sentencja</w:t>
      </w:r>
      <w:r w:rsidRPr="009F0211">
        <w:rPr>
          <w:sz w:val="20"/>
          <w:szCs w:val="20"/>
        </w:rPr>
        <w:t xml:space="preserve"> wyroku, ETPC 2006-VIII); </w:t>
      </w:r>
      <w:r w:rsidRPr="004923BC">
        <w:rPr>
          <w:rStyle w:val="s1a844bc0"/>
          <w:i/>
          <w:iCs/>
          <w:sz w:val="20"/>
          <w:szCs w:val="20"/>
        </w:rPr>
        <w:t>Broniowski przeciwko Polsce</w:t>
      </w:r>
      <w:r w:rsidRPr="009F0211">
        <w:rPr>
          <w:sz w:val="20"/>
          <w:szCs w:val="20"/>
        </w:rPr>
        <w:t xml:space="preserve"> (</w:t>
      </w:r>
      <w:r>
        <w:rPr>
          <w:sz w:val="20"/>
          <w:szCs w:val="20"/>
        </w:rPr>
        <w:t>ugoda</w:t>
      </w:r>
      <w:r w:rsidRPr="009F0211">
        <w:rPr>
          <w:sz w:val="20"/>
          <w:szCs w:val="20"/>
        </w:rPr>
        <w:t>) [</w:t>
      </w:r>
      <w:r>
        <w:rPr>
          <w:sz w:val="20"/>
          <w:szCs w:val="20"/>
        </w:rPr>
        <w:t>Wielka Izba</w:t>
      </w:r>
      <w:r w:rsidRPr="009F0211">
        <w:rPr>
          <w:sz w:val="20"/>
          <w:szCs w:val="20"/>
        </w:rPr>
        <w:t xml:space="preserve">], nr </w:t>
      </w:r>
      <w:r w:rsidRPr="00CF5AF9">
        <w:rPr>
          <w:sz w:val="20"/>
          <w:szCs w:val="20"/>
        </w:rPr>
        <w:t>31443/96</w:t>
      </w:r>
      <w:r w:rsidRPr="009F0211">
        <w:rPr>
          <w:sz w:val="20"/>
          <w:szCs w:val="20"/>
        </w:rPr>
        <w:t xml:space="preserve">, § 42, ECHR 2005-IX; oraz </w:t>
      </w:r>
      <w:r w:rsidRPr="004923BC">
        <w:rPr>
          <w:rStyle w:val="s1a844bc0"/>
          <w:i/>
          <w:iCs/>
          <w:sz w:val="20"/>
          <w:szCs w:val="20"/>
        </w:rPr>
        <w:t>Broniowski przeciwko Polsce</w:t>
      </w:r>
      <w:r w:rsidRPr="009F0211">
        <w:rPr>
          <w:rStyle w:val="s1a844bc0"/>
          <w:sz w:val="20"/>
          <w:szCs w:val="20"/>
        </w:rPr>
        <w:t xml:space="preserve"> </w:t>
      </w:r>
      <w:r w:rsidRPr="009F0211">
        <w:rPr>
          <w:sz w:val="20"/>
          <w:szCs w:val="20"/>
        </w:rPr>
        <w:t>[</w:t>
      </w:r>
      <w:r>
        <w:rPr>
          <w:sz w:val="20"/>
          <w:szCs w:val="20"/>
        </w:rPr>
        <w:t>Wielka Izba</w:t>
      </w:r>
      <w:r w:rsidRPr="009F0211">
        <w:rPr>
          <w:sz w:val="20"/>
          <w:szCs w:val="20"/>
        </w:rPr>
        <w:t xml:space="preserve">], nr </w:t>
      </w:r>
      <w:r w:rsidRPr="00CF5AF9">
        <w:rPr>
          <w:sz w:val="20"/>
          <w:szCs w:val="20"/>
        </w:rPr>
        <w:t>31443/96</w:t>
      </w:r>
      <w:r w:rsidRPr="009F0211">
        <w:rPr>
          <w:sz w:val="20"/>
          <w:szCs w:val="20"/>
        </w:rPr>
        <w:t xml:space="preserve">, §§ 189-194 i </w:t>
      </w:r>
      <w:r>
        <w:rPr>
          <w:sz w:val="20"/>
          <w:szCs w:val="20"/>
        </w:rPr>
        <w:t xml:space="preserve">sentencja </w:t>
      </w:r>
      <w:r w:rsidRPr="009F0211">
        <w:rPr>
          <w:sz w:val="20"/>
          <w:szCs w:val="20"/>
        </w:rPr>
        <w:t>wyroku, ETPC 2004-V).</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fbbfee58"/>
          <w:sz w:val="20"/>
          <w:szCs w:val="20"/>
        </w:rPr>
        <w:t>50. W rezultacie Trybunał konsekwentnie podkreślał, że weryfikacja, czy Układająca się Strona wywiązała się z obowiązków nałożonych na nią w jednym z wyroków Trybunału, nie mieści się w jego właściwości. Na tej podstawie Trybunał od</w:t>
      </w:r>
      <w:r>
        <w:rPr>
          <w:rStyle w:val="sfbbfee58"/>
          <w:sz w:val="20"/>
          <w:szCs w:val="20"/>
        </w:rPr>
        <w:t>mówił rozstrzygnięcia zarzutów</w:t>
      </w:r>
      <w:r w:rsidRPr="009F0211">
        <w:rPr>
          <w:rStyle w:val="sfbbfee58"/>
          <w:sz w:val="20"/>
          <w:szCs w:val="20"/>
        </w:rPr>
        <w:t xml:space="preserve"> dotyczących niewykonania przez Państwa wyroków Trybu</w:t>
      </w:r>
      <w:r>
        <w:rPr>
          <w:rStyle w:val="sfbbfee58"/>
          <w:sz w:val="20"/>
          <w:szCs w:val="20"/>
        </w:rPr>
        <w:t>nału, uznając takie zarzuty</w:t>
      </w:r>
      <w:r w:rsidRPr="009F0211">
        <w:rPr>
          <w:rStyle w:val="sfbbfee58"/>
          <w:sz w:val="20"/>
          <w:szCs w:val="20"/>
        </w:rPr>
        <w:t xml:space="preserve"> za niedopuszczalne </w:t>
      </w:r>
      <w:r w:rsidRPr="009F0211">
        <w:rPr>
          <w:rStyle w:val="s1a844bc0"/>
          <w:i/>
          <w:iCs/>
          <w:sz w:val="20"/>
          <w:szCs w:val="20"/>
        </w:rPr>
        <w:t>ratione materiae</w:t>
      </w:r>
      <w:r w:rsidRPr="009F0211">
        <w:rPr>
          <w:rStyle w:val="sfbbfee58"/>
          <w:sz w:val="20"/>
          <w:szCs w:val="20"/>
        </w:rPr>
        <w:t xml:space="preserve"> (patrz </w:t>
      </w:r>
      <w:r w:rsidRPr="004923BC">
        <w:rPr>
          <w:rStyle w:val="s1a844bc0"/>
          <w:i/>
          <w:iCs/>
          <w:sz w:val="20"/>
          <w:szCs w:val="20"/>
        </w:rPr>
        <w:t>Moldovan i Inni przeciwko Mołdawii</w:t>
      </w:r>
      <w:r w:rsidRPr="009F0211">
        <w:rPr>
          <w:rStyle w:val="sfbbfee58"/>
          <w:sz w:val="20"/>
          <w:szCs w:val="20"/>
        </w:rPr>
        <w:t xml:space="preserve"> (dec.), nr </w:t>
      </w:r>
      <w:r w:rsidRPr="00CF5AF9">
        <w:rPr>
          <w:sz w:val="20"/>
          <w:szCs w:val="20"/>
        </w:rPr>
        <w:t>8229/04</w:t>
      </w:r>
      <w:r w:rsidRPr="009F0211">
        <w:rPr>
          <w:rStyle w:val="sfbbfee58"/>
          <w:sz w:val="20"/>
          <w:szCs w:val="20"/>
        </w:rPr>
        <w:t xml:space="preserve">, 15 lutego 2011 r.; </w:t>
      </w:r>
      <w:r w:rsidRPr="004923BC">
        <w:rPr>
          <w:rStyle w:val="s1a844bc0"/>
          <w:i/>
          <w:iCs/>
          <w:sz w:val="20"/>
          <w:szCs w:val="20"/>
        </w:rPr>
        <w:t>Dowsett przeciwko Zjednoczonemu Królestwu</w:t>
      </w:r>
      <w:r w:rsidRPr="009F0211">
        <w:rPr>
          <w:rStyle w:val="sfbbfee58"/>
          <w:sz w:val="20"/>
          <w:szCs w:val="20"/>
        </w:rPr>
        <w:t xml:space="preserve"> (nr 2) (dec.), nr </w:t>
      </w:r>
      <w:r w:rsidRPr="00CF5AF9">
        <w:rPr>
          <w:sz w:val="20"/>
          <w:szCs w:val="20"/>
        </w:rPr>
        <w:t>8559/08</w:t>
      </w:r>
      <w:r w:rsidRPr="009F0211">
        <w:rPr>
          <w:rStyle w:val="sfbbfee58"/>
          <w:sz w:val="20"/>
          <w:szCs w:val="20"/>
        </w:rPr>
        <w:t xml:space="preserve">, 4 stycznia 2011 r.; </w:t>
      </w:r>
      <w:r w:rsidRPr="004923BC">
        <w:rPr>
          <w:rStyle w:val="s1a844bc0"/>
          <w:i/>
          <w:iCs/>
          <w:sz w:val="20"/>
          <w:szCs w:val="20"/>
        </w:rPr>
        <w:t>Öcalan przeciwko Turcji</w:t>
      </w:r>
      <w:r w:rsidRPr="009F0211">
        <w:rPr>
          <w:rStyle w:val="s1a844bc0"/>
          <w:sz w:val="20"/>
          <w:szCs w:val="20"/>
        </w:rPr>
        <w:t xml:space="preserve"> </w:t>
      </w:r>
      <w:r w:rsidRPr="009F0211">
        <w:rPr>
          <w:rStyle w:val="sfbbfee58"/>
          <w:sz w:val="20"/>
          <w:szCs w:val="20"/>
        </w:rPr>
        <w:t xml:space="preserve">(dec.), nr </w:t>
      </w:r>
      <w:r w:rsidRPr="00CF5AF9">
        <w:rPr>
          <w:sz w:val="20"/>
          <w:szCs w:val="20"/>
        </w:rPr>
        <w:t>5980/07</w:t>
      </w:r>
      <w:r w:rsidRPr="009F0211">
        <w:rPr>
          <w:rStyle w:val="sfbbfee58"/>
          <w:sz w:val="20"/>
          <w:szCs w:val="20"/>
        </w:rPr>
        <w:t xml:space="preserve">, 6 lipca 2010 r.; </w:t>
      </w:r>
      <w:r w:rsidRPr="004923BC">
        <w:rPr>
          <w:rStyle w:val="s1a844bc0"/>
          <w:i/>
          <w:iCs/>
          <w:sz w:val="20"/>
          <w:szCs w:val="20"/>
        </w:rPr>
        <w:t>Haase przeciwko Niemcom</w:t>
      </w:r>
      <w:r w:rsidRPr="009F0211">
        <w:rPr>
          <w:rStyle w:val="sfbbfee58"/>
          <w:sz w:val="20"/>
          <w:szCs w:val="20"/>
        </w:rPr>
        <w:t xml:space="preserve">, nr </w:t>
      </w:r>
      <w:r w:rsidRPr="00CF5AF9">
        <w:rPr>
          <w:sz w:val="20"/>
          <w:szCs w:val="20"/>
        </w:rPr>
        <w:t>11057/02</w:t>
      </w:r>
      <w:r w:rsidRPr="009F0211">
        <w:rPr>
          <w:rStyle w:val="sfbbfee58"/>
          <w:sz w:val="20"/>
          <w:szCs w:val="20"/>
        </w:rPr>
        <w:t xml:space="preserve">, ETPC 2004 III; </w:t>
      </w:r>
      <w:r w:rsidRPr="004923BC">
        <w:rPr>
          <w:rStyle w:val="s1a844bc0"/>
          <w:i/>
          <w:iCs/>
          <w:sz w:val="20"/>
          <w:szCs w:val="20"/>
        </w:rPr>
        <w:t xml:space="preserve">Komanický przeciwko Słowacji </w:t>
      </w:r>
      <w:r w:rsidRPr="009F0211">
        <w:rPr>
          <w:rStyle w:val="sfbbfee58"/>
          <w:sz w:val="20"/>
          <w:szCs w:val="20"/>
        </w:rPr>
        <w:t xml:space="preserve">(dec.), nr </w:t>
      </w:r>
      <w:r w:rsidRPr="00CF5AF9">
        <w:rPr>
          <w:sz w:val="20"/>
          <w:szCs w:val="20"/>
        </w:rPr>
        <w:t>13677/03</w:t>
      </w:r>
      <w:r w:rsidRPr="009F0211">
        <w:rPr>
          <w:rStyle w:val="sfbbfee58"/>
          <w:sz w:val="20"/>
          <w:szCs w:val="20"/>
        </w:rPr>
        <w:t xml:space="preserve">, 1 marca 2005 r.; </w:t>
      </w:r>
      <w:r w:rsidRPr="004923BC">
        <w:rPr>
          <w:rStyle w:val="s1a844bc0"/>
          <w:i/>
          <w:iCs/>
          <w:sz w:val="20"/>
          <w:szCs w:val="20"/>
        </w:rPr>
        <w:t>Lyons i Inni</w:t>
      </w:r>
      <w:r w:rsidRPr="009F0211">
        <w:rPr>
          <w:rStyle w:val="sfbbfee58"/>
          <w:sz w:val="20"/>
          <w:szCs w:val="20"/>
        </w:rPr>
        <w:t xml:space="preserve">, </w:t>
      </w:r>
      <w:r w:rsidRPr="00115A21">
        <w:rPr>
          <w:rStyle w:val="sfbbfee58"/>
          <w:i/>
          <w:iCs/>
          <w:sz w:val="20"/>
          <w:szCs w:val="20"/>
        </w:rPr>
        <w:t>op. cit.</w:t>
      </w:r>
      <w:r w:rsidRPr="009F0211">
        <w:rPr>
          <w:rStyle w:val="sfbbfee58"/>
          <w:sz w:val="20"/>
          <w:szCs w:val="20"/>
        </w:rPr>
        <w:t xml:space="preserve">; </w:t>
      </w:r>
      <w:r w:rsidRPr="004923BC">
        <w:rPr>
          <w:rStyle w:val="s1a844bc0"/>
          <w:i/>
          <w:iCs/>
          <w:sz w:val="20"/>
          <w:szCs w:val="20"/>
        </w:rPr>
        <w:t>Krčmář i i Inni</w:t>
      </w:r>
      <w:r w:rsidRPr="009F0211">
        <w:rPr>
          <w:rStyle w:val="sfbbfee58"/>
          <w:sz w:val="20"/>
          <w:szCs w:val="20"/>
        </w:rPr>
        <w:t xml:space="preserve">, </w:t>
      </w:r>
      <w:r w:rsidRPr="00115A21">
        <w:rPr>
          <w:rStyle w:val="sfbbfee58"/>
          <w:i/>
          <w:iCs/>
          <w:sz w:val="20"/>
          <w:szCs w:val="20"/>
        </w:rPr>
        <w:t>op. cit.</w:t>
      </w:r>
      <w:r w:rsidRPr="009F0211">
        <w:rPr>
          <w:rStyle w:val="sfbbfee58"/>
          <w:sz w:val="20"/>
          <w:szCs w:val="20"/>
        </w:rPr>
        <w:t xml:space="preserve">; oraz </w:t>
      </w:r>
      <w:r w:rsidRPr="004923BC">
        <w:rPr>
          <w:rStyle w:val="sfbbfee58"/>
          <w:i/>
          <w:iCs/>
          <w:sz w:val="20"/>
          <w:szCs w:val="20"/>
        </w:rPr>
        <w:t>[</w:t>
      </w:r>
      <w:r w:rsidRPr="004923BC">
        <w:rPr>
          <w:rStyle w:val="s1a844bc0"/>
          <w:i/>
          <w:iCs/>
          <w:sz w:val="20"/>
          <w:szCs w:val="20"/>
        </w:rPr>
        <w:t>Fischer</w:t>
      </w:r>
      <w:r w:rsidRPr="004923BC">
        <w:rPr>
          <w:rStyle w:val="sae070d1d"/>
          <w:i/>
          <w:iCs/>
          <w:sz w:val="20"/>
          <w:szCs w:val="20"/>
        </w:rPr>
        <w:t>]</w:t>
      </w:r>
      <w:r w:rsidRPr="004923BC">
        <w:rPr>
          <w:rStyle w:val="s1a844bc0"/>
          <w:i/>
          <w:iCs/>
          <w:sz w:val="20"/>
          <w:szCs w:val="20"/>
        </w:rPr>
        <w:t xml:space="preserve"> przeciwko Austrii</w:t>
      </w:r>
      <w:r w:rsidRPr="009F0211">
        <w:rPr>
          <w:rStyle w:val="sfbbfee58"/>
          <w:sz w:val="20"/>
          <w:szCs w:val="20"/>
        </w:rPr>
        <w:t xml:space="preserve"> (dec.), nr </w:t>
      </w:r>
      <w:r w:rsidRPr="00CF5AF9">
        <w:rPr>
          <w:sz w:val="20"/>
          <w:szCs w:val="20"/>
        </w:rPr>
        <w:t>27569/02</w:t>
      </w:r>
      <w:r w:rsidRPr="009F0211">
        <w:rPr>
          <w:rStyle w:val="sfbbfee58"/>
          <w:sz w:val="20"/>
          <w:szCs w:val="20"/>
        </w:rPr>
        <w:t>, ETPC 2003 VI).</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fbbfee58"/>
          <w:sz w:val="20"/>
          <w:szCs w:val="20"/>
        </w:rPr>
        <w:t xml:space="preserve">51. Niemniej rola Komitetu Ministrów w tej sferze nie oznacza, że środki podjęte przez pozwane Państwo w celu naprawienia naruszenia stwierdzonego przez Trybunał nie mogą </w:t>
      </w:r>
      <w:r>
        <w:rPr>
          <w:rStyle w:val="sfbbfee58"/>
          <w:sz w:val="20"/>
          <w:szCs w:val="20"/>
        </w:rPr>
        <w:t xml:space="preserve">skutkować powstaniem </w:t>
      </w:r>
      <w:r w:rsidRPr="009F0211">
        <w:rPr>
          <w:rStyle w:val="sfbbfee58"/>
          <w:sz w:val="20"/>
          <w:szCs w:val="20"/>
        </w:rPr>
        <w:t xml:space="preserve">nowej kwestii nierozstrzygniętej w odnośnym wyroku (patrz </w:t>
      </w:r>
      <w:r w:rsidRPr="004923BC">
        <w:rPr>
          <w:rStyle w:val="s1a844bc0"/>
          <w:i/>
          <w:iCs/>
          <w:sz w:val="20"/>
          <w:szCs w:val="20"/>
        </w:rPr>
        <w:t>Verein gegen Tierfabriken Schweiz (VgT)</w:t>
      </w:r>
      <w:r w:rsidRPr="009F0211">
        <w:rPr>
          <w:rStyle w:val="s1a844bc0"/>
          <w:sz w:val="20"/>
          <w:szCs w:val="20"/>
        </w:rPr>
        <w:t xml:space="preserve">, </w:t>
      </w:r>
      <w:r w:rsidRPr="00115A21">
        <w:rPr>
          <w:rStyle w:val="s1a844bc0"/>
          <w:i/>
          <w:iCs/>
          <w:sz w:val="20"/>
          <w:szCs w:val="20"/>
        </w:rPr>
        <w:t>op. cit.</w:t>
      </w:r>
      <w:r w:rsidRPr="009F0211">
        <w:rPr>
          <w:rStyle w:val="s1a844bc0"/>
          <w:sz w:val="20"/>
          <w:szCs w:val="20"/>
        </w:rPr>
        <w:t xml:space="preserve"> § 62; </w:t>
      </w:r>
      <w:r w:rsidRPr="005C146B">
        <w:rPr>
          <w:rStyle w:val="s1a844bc0"/>
          <w:i/>
          <w:iCs/>
          <w:sz w:val="20"/>
          <w:szCs w:val="20"/>
        </w:rPr>
        <w:t>Hakkar przeciwko Francji</w:t>
      </w:r>
      <w:r w:rsidRPr="009F0211">
        <w:rPr>
          <w:rStyle w:val="s1a844bc0"/>
          <w:sz w:val="20"/>
          <w:szCs w:val="20"/>
        </w:rPr>
        <w:t xml:space="preserve"> (dec.), nr </w:t>
      </w:r>
      <w:r w:rsidRPr="00CF5AF9">
        <w:rPr>
          <w:sz w:val="20"/>
          <w:szCs w:val="20"/>
        </w:rPr>
        <w:t>43580/04</w:t>
      </w:r>
      <w:r w:rsidRPr="009F0211">
        <w:rPr>
          <w:rStyle w:val="s1a844bc0"/>
          <w:sz w:val="20"/>
          <w:szCs w:val="20"/>
        </w:rPr>
        <w:t xml:space="preserve">, 7 kwietnia 2009 r.; </w:t>
      </w:r>
      <w:r w:rsidRPr="005C146B">
        <w:rPr>
          <w:rStyle w:val="s1a844bc0"/>
          <w:i/>
          <w:iCs/>
          <w:sz w:val="20"/>
          <w:szCs w:val="20"/>
        </w:rPr>
        <w:t>Haase</w:t>
      </w:r>
      <w:r w:rsidRPr="009F0211">
        <w:rPr>
          <w:rStyle w:val="s1a844bc0"/>
          <w:sz w:val="20"/>
          <w:szCs w:val="20"/>
        </w:rPr>
        <w:t xml:space="preserve">, </w:t>
      </w:r>
      <w:r w:rsidRPr="00115A21">
        <w:rPr>
          <w:rStyle w:val="s1a844bc0"/>
          <w:i/>
          <w:iCs/>
          <w:sz w:val="20"/>
          <w:szCs w:val="20"/>
        </w:rPr>
        <w:t>op. cit.</w:t>
      </w:r>
      <w:r w:rsidRPr="009F0211">
        <w:rPr>
          <w:rStyle w:val="s1a844bc0"/>
          <w:sz w:val="20"/>
          <w:szCs w:val="20"/>
        </w:rPr>
        <w:t>;</w:t>
      </w:r>
      <w:r w:rsidRPr="005C146B">
        <w:rPr>
          <w:rStyle w:val="s1a844bc0"/>
          <w:i/>
          <w:iCs/>
          <w:sz w:val="20"/>
          <w:szCs w:val="20"/>
        </w:rPr>
        <w:t xml:space="preserve"> Mehemi [przeciwko Francji (nr 2)</w:t>
      </w:r>
      <w:r w:rsidRPr="009F0211">
        <w:rPr>
          <w:rStyle w:val="s1a844bc0"/>
          <w:sz w:val="20"/>
          <w:szCs w:val="20"/>
        </w:rPr>
        <w:t xml:space="preserve">, nr. </w:t>
      </w:r>
      <w:r w:rsidRPr="00CF5AF9">
        <w:rPr>
          <w:sz w:val="20"/>
          <w:szCs w:val="20"/>
        </w:rPr>
        <w:t>53470/99</w:t>
      </w:r>
      <w:r w:rsidRPr="009F0211">
        <w:rPr>
          <w:rStyle w:val="s1a844bc0"/>
          <w:sz w:val="20"/>
          <w:szCs w:val="20"/>
        </w:rPr>
        <w:t>, § 43, ETPC 2003</w:t>
      </w:r>
      <w:r w:rsidRPr="009F0211">
        <w:rPr>
          <w:rStyle w:val="s1a844bc0"/>
          <w:sz w:val="20"/>
          <w:szCs w:val="20"/>
        </w:rPr>
        <w:noBreakHyphen/>
        <w:t xml:space="preserve">IV]; </w:t>
      </w:r>
      <w:r w:rsidRPr="005C146B">
        <w:rPr>
          <w:rStyle w:val="s1a844bc0"/>
          <w:i/>
          <w:iCs/>
          <w:sz w:val="20"/>
          <w:szCs w:val="20"/>
        </w:rPr>
        <w:t>Rongoni przeciwko Włochom</w:t>
      </w:r>
      <w:r w:rsidRPr="009F0211">
        <w:rPr>
          <w:rStyle w:val="s1a844bc0"/>
          <w:sz w:val="20"/>
          <w:szCs w:val="20"/>
        </w:rPr>
        <w:t xml:space="preserve">, nr </w:t>
      </w:r>
      <w:r w:rsidRPr="00CF5AF9">
        <w:rPr>
          <w:sz w:val="20"/>
          <w:szCs w:val="20"/>
        </w:rPr>
        <w:t>44531/98</w:t>
      </w:r>
      <w:r w:rsidRPr="009F0211">
        <w:rPr>
          <w:rStyle w:val="s1a844bc0"/>
          <w:sz w:val="20"/>
          <w:szCs w:val="20"/>
        </w:rPr>
        <w:t xml:space="preserve">, § 13, 25 października 2001 r.; </w:t>
      </w:r>
      <w:r w:rsidRPr="005C146B">
        <w:rPr>
          <w:rStyle w:val="s1a844bc0"/>
          <w:i/>
          <w:iCs/>
          <w:sz w:val="20"/>
          <w:szCs w:val="20"/>
        </w:rPr>
        <w:t>Rando przeciwko Włochom</w:t>
      </w:r>
      <w:r w:rsidRPr="009F0211">
        <w:rPr>
          <w:rStyle w:val="s1a844bc0"/>
          <w:sz w:val="20"/>
          <w:szCs w:val="20"/>
        </w:rPr>
        <w:t xml:space="preserve">, nr </w:t>
      </w:r>
      <w:r w:rsidRPr="00CF5AF9">
        <w:rPr>
          <w:sz w:val="20"/>
          <w:szCs w:val="20"/>
        </w:rPr>
        <w:t>38498/97</w:t>
      </w:r>
      <w:r w:rsidRPr="009F0211">
        <w:rPr>
          <w:rStyle w:val="s1a844bc0"/>
          <w:sz w:val="20"/>
          <w:szCs w:val="20"/>
        </w:rPr>
        <w:t xml:space="preserve">, § 17, 15 lutego 2000 r.; </w:t>
      </w:r>
      <w:r w:rsidRPr="005C146B">
        <w:rPr>
          <w:rStyle w:val="s1a844bc0"/>
          <w:i/>
          <w:iCs/>
          <w:sz w:val="20"/>
          <w:szCs w:val="20"/>
        </w:rPr>
        <w:t>Leterme przeciwko Francji</w:t>
      </w:r>
      <w:r w:rsidRPr="009F0211">
        <w:rPr>
          <w:rStyle w:val="s1a844bc0"/>
          <w:sz w:val="20"/>
          <w:szCs w:val="20"/>
        </w:rPr>
        <w:t xml:space="preserve">, 29 kwietnia 1998 r., Raporty 1998-III; </w:t>
      </w:r>
      <w:r w:rsidRPr="005C146B">
        <w:rPr>
          <w:rStyle w:val="s1a844bc0"/>
          <w:i/>
          <w:iCs/>
          <w:sz w:val="20"/>
          <w:szCs w:val="20"/>
        </w:rPr>
        <w:t>Pailot przeciwko Francji</w:t>
      </w:r>
      <w:r w:rsidRPr="009F0211">
        <w:rPr>
          <w:rStyle w:val="s1a844bc0"/>
          <w:sz w:val="20"/>
          <w:szCs w:val="20"/>
        </w:rPr>
        <w:t xml:space="preserve">, 22 kwietnia 1998 r., § 57, Raporty 1998-II; i </w:t>
      </w:r>
      <w:r w:rsidRPr="005C146B">
        <w:rPr>
          <w:rStyle w:val="s1a844bc0"/>
          <w:i/>
          <w:iCs/>
          <w:sz w:val="20"/>
          <w:szCs w:val="20"/>
        </w:rPr>
        <w:t>Olsson przeciwko Szwecji</w:t>
      </w:r>
      <w:r w:rsidRPr="009F0211">
        <w:rPr>
          <w:rStyle w:val="s1a844bc0"/>
          <w:sz w:val="20"/>
          <w:szCs w:val="20"/>
        </w:rPr>
        <w:t xml:space="preserve"> (nr 2), 27 listopada 1992 r., Seria A nr 250) oraz, jako takie, stanowić przedmiotu nowej skargi, którą może zająć się Trybunał.</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fbbfee58"/>
          <w:sz w:val="20"/>
          <w:szCs w:val="20"/>
        </w:rPr>
        <w:t xml:space="preserve">52. Na tej podstawie Trybunał stwierdził, że posiada właściwość do rozpatrzenia skarg w pewnej liczbie spraw następczych, na przykład w sytuacji, w której władze krajowe rozpatrzyły sprawę na nowo w ramach wdrożenia jednego z wyroków Trybunału, czy to przez </w:t>
      </w:r>
      <w:r w:rsidRPr="00D53FA9">
        <w:rPr>
          <w:rStyle w:val="sb8d990e2"/>
          <w:sz w:val="20"/>
          <w:szCs w:val="20"/>
        </w:rPr>
        <w:t>wznowienie</w:t>
      </w:r>
      <w:r w:rsidRPr="009F0211">
        <w:rPr>
          <w:rStyle w:val="sfbbfee58"/>
          <w:sz w:val="20"/>
          <w:szCs w:val="20"/>
        </w:rPr>
        <w:t xml:space="preserve"> postępowania (patrz </w:t>
      </w:r>
      <w:r w:rsidRPr="005C146B">
        <w:rPr>
          <w:rStyle w:val="s1a844bc0"/>
          <w:i/>
          <w:iCs/>
          <w:sz w:val="20"/>
          <w:szCs w:val="20"/>
        </w:rPr>
        <w:t>Emre przeciwko Szwajcarii</w:t>
      </w:r>
      <w:r w:rsidRPr="009F0211">
        <w:rPr>
          <w:rStyle w:val="s1a844bc0"/>
          <w:sz w:val="20"/>
          <w:szCs w:val="20"/>
        </w:rPr>
        <w:t xml:space="preserve"> (nr 2)</w:t>
      </w:r>
      <w:r w:rsidRPr="009F0211">
        <w:rPr>
          <w:rStyle w:val="sfbbfee58"/>
          <w:sz w:val="20"/>
          <w:szCs w:val="20"/>
        </w:rPr>
        <w:t xml:space="preserve">, nr </w:t>
      </w:r>
      <w:r w:rsidRPr="00CF5AF9">
        <w:rPr>
          <w:sz w:val="20"/>
          <w:szCs w:val="20"/>
        </w:rPr>
        <w:t>5056/10</w:t>
      </w:r>
      <w:r w:rsidRPr="009F0211">
        <w:rPr>
          <w:rStyle w:val="sfbbfee58"/>
          <w:sz w:val="20"/>
          <w:szCs w:val="20"/>
        </w:rPr>
        <w:t xml:space="preserve">, 11 października 2011 r., i </w:t>
      </w:r>
      <w:r w:rsidRPr="005C146B">
        <w:rPr>
          <w:rStyle w:val="s1a844bc0"/>
          <w:i/>
          <w:iCs/>
          <w:sz w:val="20"/>
          <w:szCs w:val="20"/>
        </w:rPr>
        <w:t>Hertel</w:t>
      </w:r>
      <w:r w:rsidRPr="005C146B">
        <w:rPr>
          <w:rStyle w:val="sfbbfee58"/>
          <w:i/>
          <w:iCs/>
          <w:sz w:val="20"/>
          <w:szCs w:val="20"/>
        </w:rPr>
        <w:t xml:space="preserve"> [</w:t>
      </w:r>
      <w:r w:rsidRPr="005C146B">
        <w:rPr>
          <w:rStyle w:val="s1a844bc0"/>
          <w:i/>
          <w:iCs/>
          <w:sz w:val="20"/>
          <w:szCs w:val="20"/>
        </w:rPr>
        <w:t>przeciwko Szwajcarii</w:t>
      </w:r>
      <w:r w:rsidRPr="009F0211">
        <w:rPr>
          <w:rStyle w:val="sfbbfee58"/>
          <w:sz w:val="20"/>
          <w:szCs w:val="20"/>
        </w:rPr>
        <w:t xml:space="preserve"> (dec.), nr </w:t>
      </w:r>
      <w:r w:rsidRPr="00CF5AF9">
        <w:rPr>
          <w:sz w:val="20"/>
          <w:szCs w:val="20"/>
        </w:rPr>
        <w:t>53440/99</w:t>
      </w:r>
      <w:r w:rsidRPr="009F0211">
        <w:rPr>
          <w:rStyle w:val="sfbbfee58"/>
          <w:sz w:val="20"/>
          <w:szCs w:val="20"/>
        </w:rPr>
        <w:t xml:space="preserve">, ETPC 2002-I]) czy też poprzez wszczęcie nowego </w:t>
      </w:r>
      <w:r>
        <w:rPr>
          <w:rStyle w:val="sfbbfee58"/>
          <w:sz w:val="20"/>
          <w:szCs w:val="20"/>
        </w:rPr>
        <w:t>postępowania krajowego</w:t>
      </w:r>
      <w:r w:rsidRPr="009F0211">
        <w:rPr>
          <w:rStyle w:val="sfbbfee58"/>
          <w:sz w:val="20"/>
          <w:szCs w:val="20"/>
        </w:rPr>
        <w:t xml:space="preserve"> (patrz </w:t>
      </w:r>
      <w:r w:rsidRPr="005C146B">
        <w:rPr>
          <w:rStyle w:val="s1a844bc0"/>
          <w:i/>
          <w:iCs/>
          <w:sz w:val="20"/>
          <w:szCs w:val="20"/>
        </w:rPr>
        <w:t>The United Macedonian Organisation Ilinden – PIRIN i Inni przeciwko Bułgarii (nr 2)</w:t>
      </w:r>
      <w:r w:rsidRPr="009F0211">
        <w:rPr>
          <w:rStyle w:val="sfbbfee58"/>
          <w:sz w:val="20"/>
          <w:szCs w:val="20"/>
        </w:rPr>
        <w:t xml:space="preserve">, </w:t>
      </w:r>
      <w:r>
        <w:rPr>
          <w:rStyle w:val="sfbbfee58"/>
          <w:sz w:val="20"/>
          <w:szCs w:val="20"/>
        </w:rPr>
        <w:t>nr</w:t>
      </w:r>
      <w:r w:rsidRPr="009F0211">
        <w:rPr>
          <w:rStyle w:val="sfbbfee58"/>
          <w:sz w:val="20"/>
          <w:szCs w:val="20"/>
        </w:rPr>
        <w:t xml:space="preserve"> </w:t>
      </w:r>
      <w:r w:rsidRPr="00CF5AF9">
        <w:rPr>
          <w:sz w:val="20"/>
          <w:szCs w:val="20"/>
        </w:rPr>
        <w:t>41561/07</w:t>
      </w:r>
      <w:r w:rsidRPr="009F0211">
        <w:rPr>
          <w:rStyle w:val="sfbbfee58"/>
          <w:sz w:val="20"/>
          <w:szCs w:val="20"/>
        </w:rPr>
        <w:t xml:space="preserve"> i </w:t>
      </w:r>
      <w:r w:rsidRPr="00CF5AF9">
        <w:rPr>
          <w:sz w:val="20"/>
          <w:szCs w:val="20"/>
        </w:rPr>
        <w:t>20972/08</w:t>
      </w:r>
      <w:r w:rsidRPr="009F0211">
        <w:rPr>
          <w:rStyle w:val="sfbbfee58"/>
          <w:sz w:val="20"/>
          <w:szCs w:val="20"/>
        </w:rPr>
        <w:t xml:space="preserve">, 18 października 2011 r. oraz </w:t>
      </w:r>
      <w:r w:rsidRPr="005C146B">
        <w:rPr>
          <w:rStyle w:val="s1a844bc0"/>
          <w:i/>
          <w:iCs/>
          <w:sz w:val="20"/>
          <w:szCs w:val="20"/>
        </w:rPr>
        <w:t xml:space="preserve">Liu przeciwko Rosji </w:t>
      </w:r>
      <w:r w:rsidRPr="009F0211">
        <w:rPr>
          <w:rStyle w:val="s1a844bc0"/>
          <w:sz w:val="20"/>
          <w:szCs w:val="20"/>
        </w:rPr>
        <w:t>(nr 2)</w:t>
      </w:r>
      <w:r w:rsidRPr="009F0211">
        <w:rPr>
          <w:rStyle w:val="sfbbfee58"/>
          <w:sz w:val="20"/>
          <w:szCs w:val="20"/>
        </w:rPr>
        <w:t xml:space="preserve">, nr </w:t>
      </w:r>
      <w:r w:rsidRPr="00CF5AF9">
        <w:rPr>
          <w:sz w:val="20"/>
          <w:szCs w:val="20"/>
        </w:rPr>
        <w:t>29157/09</w:t>
      </w:r>
      <w:r w:rsidRPr="009F0211">
        <w:rPr>
          <w:rStyle w:val="sfbbfee58"/>
          <w:sz w:val="20"/>
          <w:szCs w:val="20"/>
        </w:rPr>
        <w:t>, 26 lipca 2011 r.).</w:t>
      </w:r>
    </w:p>
    <w:p w:rsidR="001C1275" w:rsidRPr="009F0211" w:rsidRDefault="001C1275" w:rsidP="00115A21">
      <w:pPr>
        <w:pStyle w:val="s9e9b0cd7"/>
        <w:spacing w:before="120" w:beforeAutospacing="0" w:after="120" w:afterAutospacing="0"/>
        <w:ind w:left="440" w:firstLine="110"/>
        <w:jc w:val="both"/>
        <w:rPr>
          <w:sz w:val="20"/>
          <w:szCs w:val="20"/>
        </w:rPr>
      </w:pPr>
      <w:r w:rsidRPr="00CE7A3C">
        <w:rPr>
          <w:rStyle w:val="sfbbfee58"/>
          <w:sz w:val="20"/>
          <w:szCs w:val="20"/>
        </w:rPr>
        <w:t>53. Co więcej, w szczególnym kontekście naruszenia prawa</w:t>
      </w:r>
      <w:r w:rsidRPr="009F0211">
        <w:rPr>
          <w:rStyle w:val="sfbbfee58"/>
          <w:sz w:val="20"/>
          <w:szCs w:val="20"/>
        </w:rPr>
        <w:t xml:space="preserve"> przewidzianego w Konwencji </w:t>
      </w:r>
      <w:r>
        <w:rPr>
          <w:rStyle w:val="sfbbfee58"/>
          <w:sz w:val="20"/>
          <w:szCs w:val="20"/>
        </w:rPr>
        <w:t>trwającego po wydaniu</w:t>
      </w:r>
      <w:r w:rsidRPr="009F0211">
        <w:rPr>
          <w:rStyle w:val="sfbbfee58"/>
          <w:sz w:val="20"/>
          <w:szCs w:val="20"/>
        </w:rPr>
        <w:t xml:space="preserve"> wyroku, w którym Trybunał stwierdził naruszenie tego prawa przez pewien okres, nie jest rzeczą niezwykłą, że Trybunał rozpatruje drugą skargę dotyczącą naruszenia tego prawa w późniejszym okresie (patrz między innymi </w:t>
      </w:r>
      <w:r w:rsidRPr="005C146B">
        <w:rPr>
          <w:rStyle w:val="s1a844bc0"/>
          <w:i/>
          <w:iCs/>
          <w:sz w:val="20"/>
          <w:szCs w:val="20"/>
        </w:rPr>
        <w:t>Ivanţoc i Inni przeciwko Mołdawii i Rosji</w:t>
      </w:r>
      <w:r w:rsidRPr="009F0211">
        <w:rPr>
          <w:rStyle w:val="sfbbfee58"/>
          <w:sz w:val="20"/>
          <w:szCs w:val="20"/>
        </w:rPr>
        <w:t xml:space="preserve">, nr </w:t>
      </w:r>
      <w:r w:rsidRPr="00CF5AF9">
        <w:rPr>
          <w:sz w:val="20"/>
          <w:szCs w:val="20"/>
        </w:rPr>
        <w:t>23687/05</w:t>
      </w:r>
      <w:r w:rsidRPr="009F0211">
        <w:rPr>
          <w:rStyle w:val="sfbbfee58"/>
          <w:sz w:val="20"/>
          <w:szCs w:val="20"/>
        </w:rPr>
        <w:t xml:space="preserve">, §§ 93-96, 15 listopada 2011 r. w sprawie </w:t>
      </w:r>
      <w:r>
        <w:rPr>
          <w:rStyle w:val="sfbbfee58"/>
          <w:sz w:val="20"/>
          <w:szCs w:val="20"/>
        </w:rPr>
        <w:t xml:space="preserve">trwającego </w:t>
      </w:r>
      <w:r w:rsidRPr="009F0211">
        <w:rPr>
          <w:rStyle w:val="sfbbfee58"/>
          <w:sz w:val="20"/>
          <w:szCs w:val="20"/>
        </w:rPr>
        <w:t xml:space="preserve">zatrzymania; </w:t>
      </w:r>
      <w:r w:rsidRPr="005C146B">
        <w:rPr>
          <w:rStyle w:val="s1a844bc0"/>
          <w:i/>
          <w:iCs/>
          <w:sz w:val="20"/>
          <w:szCs w:val="20"/>
        </w:rPr>
        <w:t>Wasserman przeciwko Rosji</w:t>
      </w:r>
      <w:r w:rsidRPr="009F0211">
        <w:rPr>
          <w:rStyle w:val="s1a844bc0"/>
          <w:sz w:val="20"/>
          <w:szCs w:val="20"/>
        </w:rPr>
        <w:t xml:space="preserve"> (nr 2)</w:t>
      </w:r>
      <w:r w:rsidRPr="009F0211">
        <w:rPr>
          <w:rStyle w:val="sfbbfee58"/>
          <w:sz w:val="20"/>
          <w:szCs w:val="20"/>
        </w:rPr>
        <w:t xml:space="preserve">, nr </w:t>
      </w:r>
      <w:r w:rsidRPr="00CF5AF9">
        <w:rPr>
          <w:sz w:val="20"/>
          <w:szCs w:val="20"/>
        </w:rPr>
        <w:t>21071/05</w:t>
      </w:r>
      <w:r w:rsidRPr="009F0211">
        <w:rPr>
          <w:rStyle w:val="sfbbfee58"/>
          <w:sz w:val="20"/>
          <w:szCs w:val="20"/>
        </w:rPr>
        <w:t xml:space="preserve">, §§ 36-37, 10 kwietnia 2008 </w:t>
      </w:r>
      <w:r>
        <w:rPr>
          <w:rStyle w:val="sfbbfee58"/>
          <w:sz w:val="20"/>
          <w:szCs w:val="20"/>
        </w:rPr>
        <w:t xml:space="preserve">r. </w:t>
      </w:r>
      <w:r w:rsidRPr="009F0211">
        <w:rPr>
          <w:rStyle w:val="sfbbfee58"/>
          <w:sz w:val="20"/>
          <w:szCs w:val="20"/>
        </w:rPr>
        <w:t xml:space="preserve">w sprawie niewykonania wyroku krajowego; oraz </w:t>
      </w:r>
      <w:r w:rsidRPr="005C146B">
        <w:rPr>
          <w:rStyle w:val="s1a844bc0"/>
          <w:i/>
          <w:iCs/>
          <w:sz w:val="20"/>
          <w:szCs w:val="20"/>
        </w:rPr>
        <w:t>Rongoni przeciwko Włochom</w:t>
      </w:r>
      <w:r w:rsidRPr="009F0211">
        <w:rPr>
          <w:rStyle w:val="sfbbfee58"/>
          <w:sz w:val="20"/>
          <w:szCs w:val="20"/>
        </w:rPr>
        <w:t xml:space="preserve">, </w:t>
      </w:r>
      <w:r w:rsidRPr="00115A21">
        <w:rPr>
          <w:rStyle w:val="sfbbfee58"/>
          <w:i/>
          <w:iCs/>
          <w:sz w:val="20"/>
          <w:szCs w:val="20"/>
        </w:rPr>
        <w:t>op. cit.</w:t>
      </w:r>
      <w:r w:rsidRPr="009F0211">
        <w:rPr>
          <w:rStyle w:val="sfbbfee58"/>
          <w:sz w:val="20"/>
          <w:szCs w:val="20"/>
        </w:rPr>
        <w:t xml:space="preserve">, § 13, w sprawie długości postępowania). W sprawach tego rodzaju "nowa kwestia" wynika z kontynuacji naruszenia, które stanowiło podstawę </w:t>
      </w:r>
      <w:r>
        <w:rPr>
          <w:rStyle w:val="sfbbfee58"/>
          <w:sz w:val="20"/>
          <w:szCs w:val="20"/>
        </w:rPr>
        <w:t xml:space="preserve">pierwotnej </w:t>
      </w:r>
      <w:r w:rsidRPr="009F0211">
        <w:rPr>
          <w:rStyle w:val="sfbbfee58"/>
          <w:sz w:val="20"/>
          <w:szCs w:val="20"/>
        </w:rPr>
        <w:t>decyzji Trybunału. Niemniej rozpatrzenie przez Trybunał jest ograniczone do nowych odnośnyc</w:t>
      </w:r>
      <w:r>
        <w:rPr>
          <w:rStyle w:val="sfbbfee58"/>
          <w:sz w:val="20"/>
          <w:szCs w:val="20"/>
        </w:rPr>
        <w:t>h okresów oraz nowych zarzutów</w:t>
      </w:r>
      <w:r w:rsidRPr="009F0211">
        <w:rPr>
          <w:rStyle w:val="sfbbfee58"/>
          <w:sz w:val="20"/>
          <w:szCs w:val="20"/>
        </w:rPr>
        <w:t xml:space="preserve"> podniesionych w tym zakresie (patrz na przykład </w:t>
      </w:r>
      <w:r w:rsidRPr="005C146B">
        <w:rPr>
          <w:rStyle w:val="s1a844bc0"/>
          <w:i/>
          <w:iCs/>
          <w:sz w:val="20"/>
          <w:szCs w:val="20"/>
        </w:rPr>
        <w:t>Ivanţoc i i Inni</w:t>
      </w:r>
      <w:r w:rsidRPr="009F0211">
        <w:rPr>
          <w:rStyle w:val="sfbbfee58"/>
          <w:sz w:val="20"/>
          <w:szCs w:val="20"/>
        </w:rPr>
        <w:t xml:space="preserve">, </w:t>
      </w:r>
      <w:r w:rsidRPr="00115A21">
        <w:rPr>
          <w:rStyle w:val="sfbbfee58"/>
          <w:i/>
          <w:iCs/>
          <w:sz w:val="20"/>
          <w:szCs w:val="20"/>
        </w:rPr>
        <w:t>op. cit.</w:t>
      </w:r>
      <w:r w:rsidRPr="009F0211">
        <w:rPr>
          <w:rStyle w:val="sfbbfee58"/>
          <w:sz w:val="20"/>
          <w:szCs w:val="20"/>
        </w:rPr>
        <w:t>).</w:t>
      </w:r>
    </w:p>
    <w:p w:rsidR="001C1275" w:rsidRPr="009F0211" w:rsidRDefault="001C1275" w:rsidP="00115A21">
      <w:pPr>
        <w:pStyle w:val="s9e9b0cd7"/>
        <w:spacing w:before="120" w:beforeAutospacing="0" w:after="120" w:afterAutospacing="0"/>
        <w:ind w:left="440" w:firstLine="110"/>
        <w:jc w:val="both"/>
        <w:rPr>
          <w:sz w:val="20"/>
          <w:szCs w:val="20"/>
        </w:rPr>
      </w:pPr>
      <w:r w:rsidRPr="009F0211">
        <w:rPr>
          <w:rStyle w:val="sfbbfee58"/>
          <w:sz w:val="20"/>
          <w:szCs w:val="20"/>
        </w:rPr>
        <w:t xml:space="preserve">54. Z orzecznictwa Trybunału jasno wynika, że stwierdzenie istnienia "nowej kwestii" zależy w znacznym stopniu od szczególnych okoliczności w danej sprawie oraz że rozróżnienie pomiędzy sprawami nie jest zawsze wyraźne. Dlatego też na przykład w sprawie </w:t>
      </w:r>
      <w:r w:rsidRPr="005C146B">
        <w:rPr>
          <w:rStyle w:val="s1a844bc0"/>
          <w:i/>
          <w:iCs/>
          <w:sz w:val="20"/>
          <w:szCs w:val="20"/>
        </w:rPr>
        <w:t>Verein gegen Tierfabriken Schweiz (VgT)</w:t>
      </w:r>
      <w:r w:rsidRPr="009F0211">
        <w:rPr>
          <w:rStyle w:val="s1a844bc0"/>
          <w:sz w:val="20"/>
          <w:szCs w:val="20"/>
        </w:rPr>
        <w:t xml:space="preserve"> </w:t>
      </w:r>
      <w:r w:rsidRPr="009F0211">
        <w:rPr>
          <w:rStyle w:val="sfbbfee58"/>
          <w:sz w:val="20"/>
          <w:szCs w:val="20"/>
        </w:rPr>
        <w:t xml:space="preserve"> (</w:t>
      </w:r>
      <w:r w:rsidRPr="00115A21">
        <w:rPr>
          <w:rStyle w:val="sfbbfee58"/>
          <w:i/>
          <w:iCs/>
          <w:sz w:val="20"/>
          <w:szCs w:val="20"/>
        </w:rPr>
        <w:t>op. cit.</w:t>
      </w:r>
      <w:r w:rsidRPr="009F0211">
        <w:rPr>
          <w:rStyle w:val="sfbbfee58"/>
          <w:sz w:val="20"/>
          <w:szCs w:val="20"/>
        </w:rPr>
        <w:t xml:space="preserve">) Trybunał </w:t>
      </w:r>
      <w:r>
        <w:rPr>
          <w:rStyle w:val="sfbbfee58"/>
          <w:sz w:val="20"/>
          <w:szCs w:val="20"/>
        </w:rPr>
        <w:t xml:space="preserve">uznał się za właściwy </w:t>
      </w:r>
      <w:r w:rsidRPr="009F0211">
        <w:rPr>
          <w:rStyle w:val="sfbbfee58"/>
          <w:sz w:val="20"/>
          <w:szCs w:val="20"/>
        </w:rPr>
        <w:t>do</w:t>
      </w:r>
      <w:r>
        <w:rPr>
          <w:rStyle w:val="sfbbfee58"/>
          <w:sz w:val="20"/>
          <w:szCs w:val="20"/>
        </w:rPr>
        <w:t xml:space="preserve"> zbadania skargi dotyczącej oddalenia przez </w:t>
      </w:r>
      <w:r w:rsidRPr="009F0211">
        <w:rPr>
          <w:rStyle w:val="sfbbfee58"/>
          <w:sz w:val="20"/>
          <w:szCs w:val="20"/>
        </w:rPr>
        <w:t xml:space="preserve">odnośny sąd krajowy </w:t>
      </w:r>
      <w:r>
        <w:rPr>
          <w:rStyle w:val="sfbbfee58"/>
          <w:sz w:val="20"/>
          <w:szCs w:val="20"/>
        </w:rPr>
        <w:t>wniosku</w:t>
      </w:r>
      <w:r w:rsidRPr="009F0211">
        <w:rPr>
          <w:rStyle w:val="sfbbfee58"/>
          <w:sz w:val="20"/>
          <w:szCs w:val="20"/>
        </w:rPr>
        <w:t xml:space="preserve"> o </w:t>
      </w:r>
      <w:r w:rsidRPr="00D53FA9">
        <w:rPr>
          <w:rStyle w:val="sb8d990e2"/>
          <w:sz w:val="20"/>
          <w:szCs w:val="20"/>
        </w:rPr>
        <w:t>wznowienie</w:t>
      </w:r>
      <w:r w:rsidRPr="009F0211">
        <w:rPr>
          <w:rStyle w:val="sfbbfee58"/>
          <w:sz w:val="20"/>
          <w:szCs w:val="20"/>
        </w:rPr>
        <w:t xml:space="preserve"> postępowania w ślad za wyrokiem Trybunału. Trybunał oparł się głównie na fakcie, że podstawy do oddalenia wniosku były nowe, a zatem stanowiły adekwatne nowe informacje mogące dać podstawy do powstania nowego naruszenia Konwencji (patrz </w:t>
      </w:r>
      <w:r w:rsidRPr="005C146B">
        <w:rPr>
          <w:rStyle w:val="s1a844bc0"/>
          <w:i/>
          <w:iCs/>
          <w:sz w:val="20"/>
          <w:szCs w:val="20"/>
        </w:rPr>
        <w:t>Verein gegen Tierfabriken Schweiz (VgT)</w:t>
      </w:r>
      <w:r w:rsidRPr="009F0211">
        <w:rPr>
          <w:rStyle w:val="sfbbfee58"/>
          <w:sz w:val="20"/>
          <w:szCs w:val="20"/>
        </w:rPr>
        <w:t xml:space="preserve">, </w:t>
      </w:r>
      <w:r w:rsidRPr="00115A21">
        <w:rPr>
          <w:rStyle w:val="sfbbfee58"/>
          <w:i/>
          <w:iCs/>
          <w:sz w:val="20"/>
          <w:szCs w:val="20"/>
        </w:rPr>
        <w:t>op. cit.</w:t>
      </w:r>
      <w:r w:rsidRPr="009F0211">
        <w:rPr>
          <w:rStyle w:val="sfbbfee58"/>
          <w:sz w:val="20"/>
          <w:szCs w:val="20"/>
        </w:rPr>
        <w:t xml:space="preserve">, § 65). Ponadto Trybunał wziął pod uwagę fakt, że Komitet Ministrów zakończył swoje działania nadzorcze nad wykonaniem wyroku Trybunału bez uwzględniania odmowy </w:t>
      </w:r>
      <w:r w:rsidRPr="008F5D2E">
        <w:rPr>
          <w:rStyle w:val="sb8d990e2"/>
          <w:sz w:val="20"/>
          <w:szCs w:val="20"/>
        </w:rPr>
        <w:t>wznowienia</w:t>
      </w:r>
      <w:r w:rsidRPr="009F0211">
        <w:rPr>
          <w:rStyle w:val="sfbbfee58"/>
          <w:sz w:val="20"/>
          <w:szCs w:val="20"/>
        </w:rPr>
        <w:t xml:space="preserve"> postępowania</w:t>
      </w:r>
      <w:r>
        <w:rPr>
          <w:rStyle w:val="sfbbfee58"/>
          <w:sz w:val="20"/>
          <w:szCs w:val="20"/>
        </w:rPr>
        <w:t>, jako że</w:t>
      </w:r>
      <w:r w:rsidRPr="009F0211">
        <w:rPr>
          <w:rStyle w:val="sfbbfee58"/>
          <w:sz w:val="20"/>
          <w:szCs w:val="20"/>
        </w:rPr>
        <w:t xml:space="preserve"> nie został poinformowany o tej decyzji. Trybunał wziął pod uwagę, że również z tego punktu widzenia rzeczona odmowa stanowiła nowy fakt (</w:t>
      </w:r>
      <w:r w:rsidRPr="00CF43A5">
        <w:rPr>
          <w:rStyle w:val="sfbbfee58"/>
          <w:i/>
          <w:iCs/>
          <w:sz w:val="20"/>
          <w:szCs w:val="20"/>
        </w:rPr>
        <w:t>ibid</w:t>
      </w:r>
      <w:r>
        <w:rPr>
          <w:rStyle w:val="sfbbfee58"/>
          <w:i/>
          <w:iCs/>
          <w:sz w:val="20"/>
          <w:szCs w:val="20"/>
        </w:rPr>
        <w:t>.</w:t>
      </w:r>
      <w:r w:rsidRPr="009F0211">
        <w:rPr>
          <w:rStyle w:val="sfbbfee58"/>
          <w:sz w:val="20"/>
          <w:szCs w:val="20"/>
        </w:rPr>
        <w:t xml:space="preserve">, § 67). Podobnie, w niedawnym wyroku w sprawie </w:t>
      </w:r>
      <w:r w:rsidRPr="005C146B">
        <w:rPr>
          <w:rStyle w:val="s1a844bc0"/>
          <w:i/>
          <w:iCs/>
          <w:sz w:val="20"/>
          <w:szCs w:val="20"/>
        </w:rPr>
        <w:t>Emre</w:t>
      </w:r>
      <w:r w:rsidRPr="009F0211">
        <w:rPr>
          <w:rStyle w:val="sfbbfee58"/>
          <w:sz w:val="20"/>
          <w:szCs w:val="20"/>
        </w:rPr>
        <w:t xml:space="preserve"> (</w:t>
      </w:r>
      <w:r w:rsidRPr="00115A21">
        <w:rPr>
          <w:rStyle w:val="sfbbfee58"/>
          <w:i/>
          <w:iCs/>
          <w:sz w:val="20"/>
          <w:szCs w:val="20"/>
        </w:rPr>
        <w:t>op. cit.</w:t>
      </w:r>
      <w:r w:rsidRPr="009F0211">
        <w:rPr>
          <w:rStyle w:val="sfbbfee58"/>
          <w:sz w:val="20"/>
          <w:szCs w:val="20"/>
        </w:rPr>
        <w:t xml:space="preserve">) Trybunał stwierdził, że nowy wyrok krajowy wydany po </w:t>
      </w:r>
      <w:r w:rsidRPr="008F5D2E">
        <w:rPr>
          <w:rStyle w:val="sb8d990e2"/>
          <w:sz w:val="20"/>
          <w:szCs w:val="20"/>
        </w:rPr>
        <w:t>wznowieniu</w:t>
      </w:r>
      <w:r w:rsidRPr="009F0211">
        <w:rPr>
          <w:rStyle w:val="sfbbfee58"/>
          <w:sz w:val="20"/>
          <w:szCs w:val="20"/>
        </w:rPr>
        <w:t xml:space="preserve"> sprawy, w którym sąd krajowy przystąpił od nowa do zrównoważenia interesów, stanowił nowy fakt. Trybunał zauważył ponadto w tym zakresie, że procedura wykonania przed Komitetem Ministrów nie została rozpoczęta. Niemniej porównywalne skargi zostały oddalone w sprawach </w:t>
      </w:r>
      <w:r w:rsidRPr="005C146B">
        <w:rPr>
          <w:rStyle w:val="s1a844bc0"/>
          <w:i/>
          <w:iCs/>
          <w:sz w:val="20"/>
          <w:szCs w:val="20"/>
        </w:rPr>
        <w:t>Schelling przeciwko Austrii</w:t>
      </w:r>
      <w:r w:rsidRPr="009F0211">
        <w:rPr>
          <w:rStyle w:val="s1a844bc0"/>
          <w:sz w:val="20"/>
          <w:szCs w:val="20"/>
        </w:rPr>
        <w:t xml:space="preserve"> (nr 2) </w:t>
      </w:r>
      <w:r w:rsidRPr="009F0211">
        <w:rPr>
          <w:rStyle w:val="sfbbfee58"/>
          <w:sz w:val="20"/>
          <w:szCs w:val="20"/>
        </w:rPr>
        <w:t xml:space="preserve">(dec.), nr </w:t>
      </w:r>
      <w:r w:rsidRPr="00CF5AF9">
        <w:rPr>
          <w:sz w:val="20"/>
          <w:szCs w:val="20"/>
        </w:rPr>
        <w:t>46128/07</w:t>
      </w:r>
      <w:r w:rsidRPr="009F0211">
        <w:rPr>
          <w:rStyle w:val="sfbbfee58"/>
          <w:sz w:val="20"/>
          <w:szCs w:val="20"/>
        </w:rPr>
        <w:t xml:space="preserve">, 16 września 2010 r. oraz </w:t>
      </w:r>
      <w:r w:rsidRPr="005C146B">
        <w:rPr>
          <w:rStyle w:val="s1a844bc0"/>
          <w:i/>
          <w:iCs/>
          <w:sz w:val="20"/>
          <w:szCs w:val="20"/>
        </w:rPr>
        <w:t>Steck-Risch i Inni przeciwko Liechtensteinowi</w:t>
      </w:r>
      <w:r w:rsidRPr="009F0211">
        <w:rPr>
          <w:rStyle w:val="sfbbfee58"/>
          <w:sz w:val="20"/>
          <w:szCs w:val="20"/>
        </w:rPr>
        <w:t xml:space="preserve"> (dec.) nr 629061//08, 11 </w:t>
      </w:r>
      <w:r>
        <w:rPr>
          <w:rStyle w:val="sfbbfee58"/>
          <w:sz w:val="20"/>
          <w:szCs w:val="20"/>
        </w:rPr>
        <w:t>maja</w:t>
      </w:r>
      <w:r w:rsidRPr="009F0211">
        <w:rPr>
          <w:rStyle w:val="sfbbfee58"/>
          <w:sz w:val="20"/>
          <w:szCs w:val="20"/>
        </w:rPr>
        <w:t xml:space="preserve"> 2010</w:t>
      </w:r>
      <w:r>
        <w:rPr>
          <w:rStyle w:val="sfbbfee58"/>
          <w:sz w:val="20"/>
          <w:szCs w:val="20"/>
        </w:rPr>
        <w:t xml:space="preserve"> r.</w:t>
      </w:r>
      <w:r w:rsidRPr="009F0211">
        <w:rPr>
          <w:rStyle w:val="sfbbfee58"/>
          <w:sz w:val="20"/>
          <w:szCs w:val="20"/>
        </w:rPr>
        <w:t xml:space="preserve">), jako że Trybunał  uznał, że w oparciu o okoliczności faktyczne sprawy decyzje sądów krajowych oddalające wnioski o </w:t>
      </w:r>
      <w:r>
        <w:rPr>
          <w:rStyle w:val="sfbbfee58"/>
          <w:sz w:val="20"/>
          <w:szCs w:val="20"/>
        </w:rPr>
        <w:t>wznowienie</w:t>
      </w:r>
      <w:r w:rsidRPr="009F0211">
        <w:rPr>
          <w:rStyle w:val="sfbbfee58"/>
          <w:sz w:val="20"/>
          <w:szCs w:val="20"/>
        </w:rPr>
        <w:t xml:space="preserve"> postępowania nie były oparte na wystarczających </w:t>
      </w:r>
      <w:r>
        <w:rPr>
          <w:rStyle w:val="sfbbfee58"/>
          <w:sz w:val="20"/>
          <w:szCs w:val="20"/>
        </w:rPr>
        <w:t xml:space="preserve">nowych </w:t>
      </w:r>
      <w:r w:rsidRPr="009F0211">
        <w:rPr>
          <w:rStyle w:val="sfbbfee58"/>
          <w:sz w:val="20"/>
          <w:szCs w:val="20"/>
        </w:rPr>
        <w:t xml:space="preserve">podstawach ani związane z wystarczającymi </w:t>
      </w:r>
      <w:r>
        <w:rPr>
          <w:rStyle w:val="sfbbfee58"/>
          <w:sz w:val="20"/>
          <w:szCs w:val="20"/>
        </w:rPr>
        <w:t xml:space="preserve">nowymi </w:t>
      </w:r>
      <w:r w:rsidRPr="009F0211">
        <w:rPr>
          <w:rStyle w:val="sfbbfee58"/>
          <w:sz w:val="20"/>
          <w:szCs w:val="20"/>
        </w:rPr>
        <w:t xml:space="preserve">podstawami mogącymi prowadzić do nowego naruszenia Konwencji. Co więcej, w sprawie </w:t>
      </w:r>
      <w:r w:rsidRPr="005C146B">
        <w:rPr>
          <w:rStyle w:val="s1a844bc0"/>
          <w:i/>
          <w:iCs/>
          <w:sz w:val="20"/>
          <w:szCs w:val="20"/>
        </w:rPr>
        <w:t>Steck-Risch</w:t>
      </w:r>
      <w:r w:rsidRPr="009F0211">
        <w:rPr>
          <w:rStyle w:val="sfbbfee58"/>
          <w:sz w:val="20"/>
          <w:szCs w:val="20"/>
        </w:rPr>
        <w:t xml:space="preserve"> Trybunał stwierdził, że Komitet Ministrów zakończył działania nadzorcze nad wykonaniem poprzedniego wyroku Trybunału przed odmową sądu krajowego w sprawie </w:t>
      </w:r>
      <w:r w:rsidRPr="008F5D2E">
        <w:rPr>
          <w:rStyle w:val="sb8d990e2"/>
          <w:sz w:val="20"/>
          <w:szCs w:val="20"/>
        </w:rPr>
        <w:t>wznowienia</w:t>
      </w:r>
      <w:r w:rsidRPr="009F0211" w:rsidDel="008F5D2E">
        <w:rPr>
          <w:rStyle w:val="sfbbfee58"/>
          <w:sz w:val="20"/>
          <w:szCs w:val="20"/>
        </w:rPr>
        <w:t xml:space="preserve"> </w:t>
      </w:r>
      <w:r w:rsidRPr="009F0211">
        <w:rPr>
          <w:rStyle w:val="sfbbfee58"/>
          <w:sz w:val="20"/>
          <w:szCs w:val="20"/>
        </w:rPr>
        <w:t xml:space="preserve">postępowania oraz bez opierania się na fakcie, że taki wniosek o </w:t>
      </w:r>
      <w:r w:rsidRPr="00E97D7F">
        <w:rPr>
          <w:rStyle w:val="sb8d990e2"/>
          <w:sz w:val="20"/>
          <w:szCs w:val="20"/>
        </w:rPr>
        <w:t>wznowienie</w:t>
      </w:r>
      <w:r w:rsidRPr="009F0211" w:rsidDel="00E97D7F">
        <w:rPr>
          <w:rStyle w:val="sfbbfee58"/>
          <w:sz w:val="20"/>
          <w:szCs w:val="20"/>
        </w:rPr>
        <w:t xml:space="preserve"> </w:t>
      </w:r>
      <w:r w:rsidRPr="009F0211">
        <w:rPr>
          <w:rStyle w:val="sfbbfee58"/>
          <w:sz w:val="20"/>
          <w:szCs w:val="20"/>
        </w:rPr>
        <w:t>mógł zostać wniesiony. Również w tej sprawie brakowało adekwatnych nowych informacji.</w:t>
      </w:r>
    </w:p>
    <w:p w:rsidR="001C1275" w:rsidRPr="009F0211" w:rsidRDefault="001C1275" w:rsidP="00CE7A3C">
      <w:pPr>
        <w:pStyle w:val="s9e9b0cd7"/>
        <w:spacing w:before="120" w:beforeAutospacing="0" w:after="120" w:afterAutospacing="0"/>
        <w:ind w:left="440" w:firstLine="110"/>
        <w:jc w:val="both"/>
        <w:rPr>
          <w:sz w:val="20"/>
          <w:szCs w:val="20"/>
        </w:rPr>
      </w:pPr>
      <w:r w:rsidRPr="009F0211">
        <w:rPr>
          <w:rStyle w:val="sfbbfee58"/>
          <w:sz w:val="20"/>
          <w:szCs w:val="20"/>
        </w:rPr>
        <w:t xml:space="preserve">55. W tym kontekście należy również odwołać się do kryteriów wprowadzonych w orzecznictwie w odniesieniu do art. 35 </w:t>
      </w:r>
      <w:r>
        <w:rPr>
          <w:rStyle w:val="sfbbfee58"/>
          <w:sz w:val="20"/>
          <w:szCs w:val="20"/>
        </w:rPr>
        <w:t>ust.</w:t>
      </w:r>
      <w:r w:rsidRPr="009F0211">
        <w:rPr>
          <w:rStyle w:val="sfbbfee58"/>
          <w:sz w:val="20"/>
          <w:szCs w:val="20"/>
        </w:rPr>
        <w:t xml:space="preserve"> 2 (b), zgodnie z którymi skarga zostaje uznana za niedopuszczalną, jeżeli </w:t>
      </w:r>
      <w:r>
        <w:rPr>
          <w:rStyle w:val="sfbbfee58"/>
          <w:sz w:val="20"/>
          <w:szCs w:val="20"/>
        </w:rPr>
        <w:t>„</w:t>
      </w:r>
      <w:r w:rsidRPr="009F0211">
        <w:rPr>
          <w:rStyle w:val="sfbbfee58"/>
          <w:sz w:val="20"/>
          <w:szCs w:val="20"/>
        </w:rPr>
        <w:t xml:space="preserve">jest </w:t>
      </w:r>
      <w:r>
        <w:rPr>
          <w:rStyle w:val="sfbbfee58"/>
          <w:sz w:val="20"/>
          <w:szCs w:val="20"/>
        </w:rPr>
        <w:t xml:space="preserve">co do istoty identyczna ze sprawą już rozpatrzoną </w:t>
      </w:r>
      <w:r w:rsidRPr="009F0211">
        <w:rPr>
          <w:rStyle w:val="sfbbfee58"/>
          <w:sz w:val="20"/>
          <w:szCs w:val="20"/>
        </w:rPr>
        <w:t xml:space="preserve">przez Trybunał... i nie </w:t>
      </w:r>
      <w:r>
        <w:rPr>
          <w:rStyle w:val="sfbbfee58"/>
          <w:sz w:val="20"/>
          <w:szCs w:val="20"/>
        </w:rPr>
        <w:t>zawiera</w:t>
      </w:r>
      <w:r w:rsidRPr="009F0211">
        <w:rPr>
          <w:rStyle w:val="sfbbfee58"/>
          <w:sz w:val="20"/>
          <w:szCs w:val="20"/>
        </w:rPr>
        <w:t xml:space="preserve"> </w:t>
      </w:r>
      <w:r>
        <w:rPr>
          <w:rStyle w:val="sfbbfee58"/>
          <w:sz w:val="20"/>
          <w:szCs w:val="20"/>
        </w:rPr>
        <w:t>nowych, istotnych</w:t>
      </w:r>
      <w:r w:rsidRPr="009F0211">
        <w:rPr>
          <w:rStyle w:val="sfbbfee58"/>
          <w:sz w:val="20"/>
          <w:szCs w:val="20"/>
        </w:rPr>
        <w:t xml:space="preserve"> informacji": (i) skarga jest uważana za </w:t>
      </w:r>
      <w:r>
        <w:rPr>
          <w:rStyle w:val="sfbbfee58"/>
          <w:sz w:val="20"/>
          <w:szCs w:val="20"/>
        </w:rPr>
        <w:t>„co do istoty identyczną", jeżeli strony, zarzuty</w:t>
      </w:r>
      <w:r w:rsidRPr="009F0211">
        <w:rPr>
          <w:rStyle w:val="sfbbfee58"/>
          <w:sz w:val="20"/>
          <w:szCs w:val="20"/>
        </w:rPr>
        <w:t xml:space="preserve"> i fakty są identyczne (patrz </w:t>
      </w:r>
      <w:r w:rsidRPr="005C146B">
        <w:rPr>
          <w:rStyle w:val="s1a844bc0"/>
          <w:i/>
          <w:iCs/>
          <w:sz w:val="20"/>
          <w:szCs w:val="20"/>
        </w:rPr>
        <w:t>Verein Gegen Tierfabriken Schweiz (VgT)</w:t>
      </w:r>
      <w:r w:rsidRPr="009F0211">
        <w:rPr>
          <w:rStyle w:val="sfbbfee58"/>
          <w:sz w:val="20"/>
          <w:szCs w:val="20"/>
        </w:rPr>
        <w:t xml:space="preserve"> </w:t>
      </w:r>
      <w:r w:rsidRPr="00CE7A3C">
        <w:rPr>
          <w:rStyle w:val="sfbbfee58"/>
          <w:i/>
          <w:iCs/>
          <w:sz w:val="20"/>
          <w:szCs w:val="20"/>
        </w:rPr>
        <w:t>op. cit.</w:t>
      </w:r>
      <w:r w:rsidRPr="009F0211">
        <w:rPr>
          <w:rStyle w:val="sfbbfee58"/>
          <w:sz w:val="20"/>
          <w:szCs w:val="20"/>
        </w:rPr>
        <w:t xml:space="preserve">, § 63 i </w:t>
      </w:r>
      <w:r w:rsidRPr="005C146B">
        <w:rPr>
          <w:rStyle w:val="s1a844bc0"/>
          <w:i/>
          <w:iCs/>
          <w:sz w:val="20"/>
          <w:szCs w:val="20"/>
        </w:rPr>
        <w:t>Pauger przeciwko Austrii</w:t>
      </w:r>
      <w:r w:rsidRPr="009F0211">
        <w:rPr>
          <w:rStyle w:val="sfbbfee58"/>
          <w:sz w:val="20"/>
          <w:szCs w:val="20"/>
        </w:rPr>
        <w:t xml:space="preserve"> (dec.), </w:t>
      </w:r>
      <w:r>
        <w:rPr>
          <w:rStyle w:val="sfbbfee58"/>
          <w:sz w:val="20"/>
          <w:szCs w:val="20"/>
        </w:rPr>
        <w:t>nr</w:t>
      </w:r>
      <w:r w:rsidRPr="009F0211">
        <w:rPr>
          <w:rStyle w:val="sfbbfee58"/>
          <w:sz w:val="20"/>
          <w:szCs w:val="20"/>
        </w:rPr>
        <w:t xml:space="preserve"> </w:t>
      </w:r>
      <w:r w:rsidRPr="00CF5AF9">
        <w:rPr>
          <w:sz w:val="20"/>
          <w:szCs w:val="20"/>
        </w:rPr>
        <w:t>16717/90</w:t>
      </w:r>
      <w:r w:rsidRPr="009F0211">
        <w:rPr>
          <w:rStyle w:val="sfbbfee58"/>
          <w:sz w:val="20"/>
          <w:szCs w:val="20"/>
        </w:rPr>
        <w:t xml:space="preserve"> i </w:t>
      </w:r>
      <w:r w:rsidRPr="00CF5AF9">
        <w:rPr>
          <w:sz w:val="20"/>
          <w:szCs w:val="20"/>
        </w:rPr>
        <w:t>24872/94</w:t>
      </w:r>
      <w:r w:rsidRPr="009F0211">
        <w:rPr>
          <w:rStyle w:val="sfbbfee58"/>
          <w:sz w:val="20"/>
          <w:szCs w:val="20"/>
        </w:rPr>
        <w:t>, decyzje Komisji z dnia 9 stycznia 1995 r.); (ii</w:t>
      </w:r>
      <w:r>
        <w:rPr>
          <w:rStyle w:val="sfbbfee58"/>
          <w:sz w:val="20"/>
          <w:szCs w:val="20"/>
        </w:rPr>
        <w:t>) pojęcie zarzutu</w:t>
      </w:r>
      <w:r w:rsidRPr="009F0211">
        <w:rPr>
          <w:rStyle w:val="sfbbfee58"/>
          <w:sz w:val="20"/>
          <w:szCs w:val="20"/>
        </w:rPr>
        <w:t xml:space="preserve"> charakteryzują fakty w nim zarzucane, a nie podstawy prawne ani zastosowane argumenty (patrz </w:t>
      </w:r>
      <w:r w:rsidRPr="005C146B">
        <w:rPr>
          <w:rStyle w:val="s1a844bc0"/>
          <w:i/>
          <w:iCs/>
          <w:sz w:val="20"/>
          <w:szCs w:val="20"/>
        </w:rPr>
        <w:t>Guerra i Inni przeciwko Włochom</w:t>
      </w:r>
      <w:r w:rsidRPr="009F0211">
        <w:rPr>
          <w:rStyle w:val="sfbbfee58"/>
          <w:sz w:val="20"/>
          <w:szCs w:val="20"/>
        </w:rPr>
        <w:t xml:space="preserve">, 19 lutego 1998 r., § 44, Raporty 1998-I i </w:t>
      </w:r>
      <w:r w:rsidRPr="005C146B">
        <w:rPr>
          <w:rStyle w:val="s1a844bc0"/>
          <w:i/>
          <w:iCs/>
          <w:sz w:val="20"/>
          <w:szCs w:val="20"/>
        </w:rPr>
        <w:t>Powell i Rayner przeciwko Zjednoczonemu Królestwu</w:t>
      </w:r>
      <w:r w:rsidRPr="009F0211">
        <w:rPr>
          <w:rStyle w:val="sfbbfee58"/>
          <w:sz w:val="20"/>
          <w:szCs w:val="20"/>
        </w:rPr>
        <w:t xml:space="preserve">, 21 lutego 1990 r., § 29, Seria A nr 172); oraz (iii) jeżeli skarżący przedkłada nowe informacje, skarga nie jest </w:t>
      </w:r>
      <w:r>
        <w:rPr>
          <w:rStyle w:val="sfbbfee58"/>
          <w:sz w:val="20"/>
          <w:szCs w:val="20"/>
        </w:rPr>
        <w:t xml:space="preserve">co do istoty identyczną </w:t>
      </w:r>
      <w:r w:rsidRPr="009F0211">
        <w:rPr>
          <w:rStyle w:val="sfbbfee58"/>
          <w:sz w:val="20"/>
          <w:szCs w:val="20"/>
        </w:rPr>
        <w:t xml:space="preserve">skargą co poprzednia (patrz </w:t>
      </w:r>
      <w:r w:rsidRPr="005C146B">
        <w:rPr>
          <w:rStyle w:val="s1a844bc0"/>
          <w:i/>
          <w:iCs/>
          <w:sz w:val="20"/>
          <w:szCs w:val="20"/>
        </w:rPr>
        <w:t>Patera przeciwko Republice Czeskiej</w:t>
      </w:r>
      <w:r>
        <w:rPr>
          <w:rStyle w:val="sfbbfee58"/>
          <w:sz w:val="20"/>
          <w:szCs w:val="20"/>
        </w:rPr>
        <w:t xml:space="preserve"> </w:t>
      </w:r>
      <w:r w:rsidRPr="009F0211">
        <w:rPr>
          <w:rStyle w:val="sfbbfee58"/>
          <w:sz w:val="20"/>
          <w:szCs w:val="20"/>
        </w:rPr>
        <w:t xml:space="preserve">(dec.), nr </w:t>
      </w:r>
      <w:r w:rsidRPr="00CF5AF9">
        <w:rPr>
          <w:sz w:val="20"/>
          <w:szCs w:val="20"/>
        </w:rPr>
        <w:t>25326/03</w:t>
      </w:r>
      <w:r w:rsidRPr="009F0211">
        <w:rPr>
          <w:rStyle w:val="sfbbfee58"/>
          <w:sz w:val="20"/>
          <w:szCs w:val="20"/>
        </w:rPr>
        <w:t xml:space="preserve">), decyzja Komisji z dnia 10 stycznia 1996 r. i </w:t>
      </w:r>
      <w:r w:rsidRPr="005C146B">
        <w:rPr>
          <w:rStyle w:val="s1a844bc0"/>
          <w:i/>
          <w:iCs/>
          <w:sz w:val="20"/>
          <w:szCs w:val="20"/>
        </w:rPr>
        <w:t>Chappex przeciwko Szwajcarii</w:t>
      </w:r>
      <w:r w:rsidRPr="009F0211">
        <w:rPr>
          <w:rStyle w:val="sfbbfee58"/>
          <w:sz w:val="20"/>
          <w:szCs w:val="20"/>
        </w:rPr>
        <w:t xml:space="preserve"> (dec.), nr </w:t>
      </w:r>
      <w:r w:rsidRPr="00CF5AF9">
        <w:rPr>
          <w:sz w:val="20"/>
          <w:szCs w:val="20"/>
        </w:rPr>
        <w:t>20338/92</w:t>
      </w:r>
      <w:r w:rsidRPr="009F0211">
        <w:rPr>
          <w:rStyle w:val="sfbbfee58"/>
          <w:sz w:val="20"/>
          <w:szCs w:val="20"/>
        </w:rPr>
        <w:t>, decyzja Komisji z dnia 12 października 1994 r.).</w:t>
      </w:r>
    </w:p>
    <w:p w:rsidR="001C1275" w:rsidRPr="005E2BCA" w:rsidRDefault="001C1275" w:rsidP="00CE7A3C">
      <w:pPr>
        <w:pStyle w:val="ECHRHeading3"/>
        <w:spacing w:before="120"/>
        <w:ind w:left="440" w:firstLine="110"/>
        <w:rPr>
          <w:rStyle w:val="sfbbfee58"/>
          <w:i w:val="0"/>
          <w:iCs w:val="0"/>
          <w:sz w:val="20"/>
          <w:szCs w:val="20"/>
          <w:lang w:val="pl-PL"/>
        </w:rPr>
      </w:pPr>
      <w:r w:rsidRPr="005E2BCA">
        <w:rPr>
          <w:rStyle w:val="sfbbfee58"/>
          <w:i w:val="0"/>
          <w:iCs w:val="0"/>
          <w:sz w:val="20"/>
          <w:szCs w:val="20"/>
          <w:lang w:val="pl-PL"/>
        </w:rPr>
        <w:t xml:space="preserve">56. Odpowiednio, uprawnienia przyznane Komitetowi Ministrów na mocy art. 46 w zakresie nadzoru nad wykonaniem wyroków Trybunału oraz oceny wdrożenia środków przedsięwziętych przez Państwa na mocy tego artykułu nie będą </w:t>
      </w:r>
      <w:r>
        <w:rPr>
          <w:rStyle w:val="sfbbfee58"/>
          <w:i w:val="0"/>
          <w:iCs w:val="0"/>
          <w:sz w:val="20"/>
          <w:szCs w:val="20"/>
          <w:lang w:val="pl-PL"/>
        </w:rPr>
        <w:t>naruszone w sytuacji</w:t>
      </w:r>
      <w:r w:rsidRPr="005E2BCA">
        <w:rPr>
          <w:rStyle w:val="sfbbfee58"/>
          <w:i w:val="0"/>
          <w:iCs w:val="0"/>
          <w:sz w:val="20"/>
          <w:szCs w:val="20"/>
          <w:lang w:val="pl-PL"/>
        </w:rPr>
        <w:t xml:space="preserve">, w której Trybunał ma do czynienia z nowymi </w:t>
      </w:r>
      <w:r>
        <w:rPr>
          <w:rStyle w:val="sfbbfee58"/>
          <w:i w:val="0"/>
          <w:iCs w:val="0"/>
          <w:sz w:val="20"/>
          <w:szCs w:val="20"/>
          <w:lang w:val="pl-PL"/>
        </w:rPr>
        <w:t xml:space="preserve">istotnymi </w:t>
      </w:r>
      <w:r w:rsidRPr="005E2BCA">
        <w:rPr>
          <w:rStyle w:val="sfbbfee58"/>
          <w:i w:val="0"/>
          <w:iCs w:val="0"/>
          <w:sz w:val="20"/>
          <w:szCs w:val="20"/>
          <w:lang w:val="pl-PL"/>
        </w:rPr>
        <w:t xml:space="preserve">informacjami w kontekście nowej skargi (patrz </w:t>
      </w:r>
      <w:r w:rsidRPr="00CE7A3C">
        <w:rPr>
          <w:rStyle w:val="s1a844bc0"/>
          <w:sz w:val="20"/>
          <w:szCs w:val="20"/>
          <w:lang w:val="pl-PL"/>
        </w:rPr>
        <w:t>Verein Gegen Tierfabriken Schweiz (VgT)</w:t>
      </w:r>
      <w:r w:rsidRPr="00CE7A3C">
        <w:rPr>
          <w:rStyle w:val="sfbbfee58"/>
          <w:sz w:val="20"/>
          <w:szCs w:val="20"/>
          <w:lang w:val="pl-PL"/>
        </w:rPr>
        <w:t>,</w:t>
      </w:r>
      <w:r w:rsidRPr="005E2BCA">
        <w:rPr>
          <w:rStyle w:val="sfbbfee58"/>
          <w:i w:val="0"/>
          <w:iCs w:val="0"/>
          <w:sz w:val="20"/>
          <w:szCs w:val="20"/>
          <w:lang w:val="pl-PL"/>
        </w:rPr>
        <w:t xml:space="preserve"> </w:t>
      </w:r>
      <w:r w:rsidRPr="00CE7A3C">
        <w:rPr>
          <w:rStyle w:val="sfbbfee58"/>
          <w:sz w:val="20"/>
          <w:szCs w:val="20"/>
          <w:lang w:val="pl-PL"/>
        </w:rPr>
        <w:t>op. cit.</w:t>
      </w:r>
      <w:r w:rsidRPr="005E2BCA">
        <w:rPr>
          <w:rStyle w:val="sfbbfee58"/>
          <w:i w:val="0"/>
          <w:iCs w:val="0"/>
          <w:sz w:val="20"/>
          <w:szCs w:val="20"/>
          <w:lang w:val="pl-PL"/>
        </w:rPr>
        <w:t>, § 67).”</w:t>
      </w:r>
    </w:p>
    <w:p w:rsidR="001C1275" w:rsidRPr="0000554B" w:rsidRDefault="001C1275" w:rsidP="0000554B">
      <w:pPr>
        <w:pStyle w:val="ECHRHeading3"/>
        <w:ind w:left="0" w:firstLine="0"/>
        <w:rPr>
          <w:b/>
          <w:bCs/>
          <w:lang w:val="pl-PL"/>
        </w:rPr>
      </w:pPr>
      <w:r w:rsidRPr="0000554B">
        <w:rPr>
          <w:lang w:val="pl-PL"/>
        </w:rPr>
        <w:t>2.  </w:t>
      </w:r>
      <w:r w:rsidRPr="005E2BCA">
        <w:rPr>
          <w:rStyle w:val="s45d7f35c"/>
          <w:lang w:val="pl-PL"/>
        </w:rPr>
        <w:t>Zastosowanie powyższych zasad w odniesieniu do obecnej sprawy</w:t>
      </w:r>
    </w:p>
    <w:p w:rsidR="001C1275" w:rsidRPr="0000554B" w:rsidRDefault="001C1275" w:rsidP="00F74808">
      <w:pPr>
        <w:pStyle w:val="s30eec3f8"/>
        <w:spacing w:after="0" w:afterAutospacing="0"/>
        <w:jc w:val="both"/>
      </w:pPr>
      <w:r w:rsidRPr="005E2BCA">
        <w:rPr>
          <w:lang w:eastAsia="fr-FR"/>
        </w:rPr>
        <w:fldChar w:fldCharType="begin"/>
      </w:r>
      <w:r w:rsidRPr="005E2BCA">
        <w:rPr>
          <w:lang w:eastAsia="fr-FR"/>
        </w:rPr>
        <w:instrText xml:space="preserve"> SEQ level0 \*arabic </w:instrText>
      </w:r>
      <w:r w:rsidRPr="005E2BCA">
        <w:rPr>
          <w:lang w:eastAsia="fr-FR"/>
        </w:rPr>
        <w:fldChar w:fldCharType="separate"/>
      </w:r>
      <w:r w:rsidRPr="005E2BCA">
        <w:rPr>
          <w:noProof/>
          <w:lang w:eastAsia="fr-FR"/>
        </w:rPr>
        <w:t>35</w:t>
      </w:r>
      <w:r w:rsidRPr="005E2BCA">
        <w:rPr>
          <w:lang w:eastAsia="fr-FR"/>
        </w:rPr>
        <w:fldChar w:fldCharType="end"/>
      </w:r>
      <w:r w:rsidRPr="005E2BCA">
        <w:rPr>
          <w:lang w:eastAsia="fr-FR"/>
        </w:rPr>
        <w:t>.  </w:t>
      </w:r>
      <w:r>
        <w:rPr>
          <w:rStyle w:val="sb8d990e2"/>
        </w:rPr>
        <w:t xml:space="preserve">W odniesieniu do rozpatrywanej sprawy, Trybunał jest zdania, że pewna liczba zastrzeżeń skarżącej w omawianej sprawie może być rozumiana jako zarzuty dotyczące braku prawidłowego wykonania wyroku Trybunału z dnia 3 maja 2007 r. w jej poprzedniej sprawie. Można w szczególności rozumieć, że argumentacja skarżącej jest taka, że niedostatki w pierwotnym postępowaniu krajowym stanowiące przedmiot wyroku Trybunału z 2007 r. nie zostały naprawione w postępowaniu zakończonym decyzją Sądu Najwyższego z dnia 14 marca 2008 r. w tym sensie, że Sąd Najwyższy nie odniósł się do ważności głównych dowodów dokumentowych, na których oparte były kwestionowane decyzje sądów krajowych (zob. paragraf 29 powyżej). Niemniej jednak skargi dotyczące niewykonania wyroku Trybunału lub nienaprawienia naruszenia już stwierdzonego przez Trybunał nie należą do właściwości </w:t>
      </w:r>
      <w:r>
        <w:rPr>
          <w:rStyle w:val="s6b621b36"/>
          <w:i/>
          <w:iCs/>
        </w:rPr>
        <w:t>ratione materiae</w:t>
      </w:r>
      <w:r>
        <w:rPr>
          <w:rStyle w:val="sb8d990e2"/>
        </w:rPr>
        <w:t xml:space="preserve"> Trybunału (patrz podsumowanie orzecznictwa Trybunału przedstawione w poprzednim paragrafie, a w szczególności sprawa </w:t>
      </w:r>
      <w:r w:rsidRPr="00CF43A5">
        <w:rPr>
          <w:rStyle w:val="s6b621b36"/>
          <w:i/>
          <w:iCs/>
        </w:rPr>
        <w:t>Lyons i Inni</w:t>
      </w:r>
      <w:r>
        <w:rPr>
          <w:rStyle w:val="sb8d990e2"/>
        </w:rPr>
        <w:t xml:space="preserve">, </w:t>
      </w:r>
      <w:r w:rsidRPr="00115A21">
        <w:rPr>
          <w:rStyle w:val="sb8d990e2"/>
          <w:i/>
          <w:iCs/>
        </w:rPr>
        <w:t>op. cit.</w:t>
      </w:r>
      <w:r>
        <w:rPr>
          <w:rStyle w:val="sb8d990e2"/>
        </w:rPr>
        <w:t xml:space="preserve">). Dlatego też zarzuty skarżącej, w zakresie, w jakim dotyczą one nienaprawienia pierwotnego naruszenia art. 6 ust. 1 Konwencji, zgodnie z ustaleniami zawartymi w wyroku Trybunału z 2007 r., należy uznać za </w:t>
      </w:r>
      <w:r>
        <w:rPr>
          <w:rStyle w:val="s6b621b36"/>
          <w:i/>
          <w:iCs/>
        </w:rPr>
        <w:t>ratione materiae</w:t>
      </w:r>
      <w:r>
        <w:rPr>
          <w:rStyle w:val="sb8d990e2"/>
        </w:rPr>
        <w:t xml:space="preserve"> niezgodne z Konwencją na mocy art. 35 ust. 3 (a) i 4.</w:t>
      </w:r>
    </w:p>
    <w:p w:rsidR="001C1275" w:rsidRPr="001666E8" w:rsidRDefault="001C1275" w:rsidP="00C264C5">
      <w:pPr>
        <w:pStyle w:val="ECHRPara"/>
        <w:rPr>
          <w:lang w:eastAsia="fr-FR"/>
        </w:rPr>
      </w:pPr>
      <w:r w:rsidRPr="001666E8">
        <w:rPr>
          <w:lang w:eastAsia="fr-FR"/>
        </w:rPr>
        <w:fldChar w:fldCharType="begin"/>
      </w:r>
      <w:r w:rsidRPr="001666E8">
        <w:rPr>
          <w:lang w:eastAsia="fr-FR"/>
        </w:rPr>
        <w:instrText xml:space="preserve"> SEQ level0 \*arabic </w:instrText>
      </w:r>
      <w:r w:rsidRPr="001666E8">
        <w:rPr>
          <w:lang w:eastAsia="fr-FR"/>
        </w:rPr>
        <w:fldChar w:fldCharType="separate"/>
      </w:r>
      <w:r w:rsidRPr="001666E8">
        <w:rPr>
          <w:noProof/>
          <w:lang w:eastAsia="fr-FR"/>
        </w:rPr>
        <w:t>36</w:t>
      </w:r>
      <w:r w:rsidRPr="001666E8">
        <w:rPr>
          <w:lang w:eastAsia="fr-FR"/>
        </w:rPr>
        <w:fldChar w:fldCharType="end"/>
      </w:r>
      <w:r w:rsidRPr="001666E8">
        <w:rPr>
          <w:lang w:eastAsia="fr-FR"/>
        </w:rPr>
        <w:t>.  </w:t>
      </w:r>
      <w:r>
        <w:rPr>
          <w:rStyle w:val="sb8d990e2"/>
        </w:rPr>
        <w:t>Jednakże w nowej skardze skarżąca podnosi również nowy zarzut, odnoszący się nie tyle do wyniku postępowania rozstrzygniętego w 2008 r. przez Sąd Najwyższy, co do sposobu przeprowadzenia i rzetelności tego postępowania – a jest ono chronologicznie późniejsze i odrębne od postępowania krajowego zaskarżonego w wyroku Trybunału z 2007 r.</w:t>
      </w:r>
    </w:p>
    <w:p w:rsidR="001C1275" w:rsidRPr="001666E8" w:rsidRDefault="001C1275" w:rsidP="00C264C5">
      <w:pPr>
        <w:pStyle w:val="ECHRPara"/>
        <w:rPr>
          <w:lang w:eastAsia="fr-FR"/>
        </w:rPr>
      </w:pPr>
      <w:r w:rsidRPr="005E2BCA">
        <w:rPr>
          <w:lang w:eastAsia="fr-FR"/>
        </w:rPr>
        <w:fldChar w:fldCharType="begin"/>
      </w:r>
      <w:r w:rsidRPr="005E2BCA">
        <w:rPr>
          <w:lang w:eastAsia="fr-FR"/>
        </w:rPr>
        <w:instrText xml:space="preserve"> SEQ level0 \*arabic </w:instrText>
      </w:r>
      <w:r w:rsidRPr="005E2BCA">
        <w:rPr>
          <w:lang w:eastAsia="fr-FR"/>
        </w:rPr>
        <w:fldChar w:fldCharType="separate"/>
      </w:r>
      <w:r w:rsidRPr="005E2BCA">
        <w:rPr>
          <w:noProof/>
          <w:lang w:eastAsia="fr-FR"/>
        </w:rPr>
        <w:t>37</w:t>
      </w:r>
      <w:r w:rsidRPr="005E2BCA">
        <w:rPr>
          <w:lang w:eastAsia="fr-FR"/>
        </w:rPr>
        <w:fldChar w:fldCharType="end"/>
      </w:r>
      <w:r w:rsidRPr="005E2BCA">
        <w:rPr>
          <w:lang w:eastAsia="fr-FR"/>
        </w:rPr>
        <w:t>.  </w:t>
      </w:r>
      <w:r>
        <w:rPr>
          <w:rStyle w:val="sb8d990e2"/>
        </w:rPr>
        <w:t xml:space="preserve">Roszczenie skarżącej w tej kwestii, jak można wywnioskować z przedstawionego stanowiska, dotyczy sposobu, w jaki Sąd Najwyższy zajął się jednym z jej zasadniczych argumentów opartych na wyroku Trybunału z 2007 r. W szczególności skarżąca utrzymywała, że rozumowanie zastosowane przez Sąd Najwyższy w jego decyzji z 14 marca 2008 r. stało w jawnej sprzeczności z odnośnymi ustaleniami Trybunału zawartymi w jego wyroku z 2007 r. (zob. paragraf 29 powyżej). Ten nowy zarzut dotyczy zatem sposobu podjęcia decyzji z marca 2008 r. w postępowaniu dotyczącym odwołania o charakterze wyjątkowym skarżącej, nie zaś jego wyniku jako takiego ani skuteczności wdrożenia przez sądy krajowe wyroku Trybunału (porównaj dla kontrastu sprawy </w:t>
      </w:r>
      <w:r w:rsidRPr="003406D0">
        <w:rPr>
          <w:rStyle w:val="s6b621b36"/>
          <w:i/>
          <w:iCs/>
        </w:rPr>
        <w:t>Steck-Risch i Inni</w:t>
      </w:r>
      <w:r>
        <w:rPr>
          <w:rStyle w:val="sb8d990e2"/>
        </w:rPr>
        <w:t>,</w:t>
      </w:r>
      <w:r>
        <w:rPr>
          <w:rStyle w:val="s6b621b36"/>
        </w:rPr>
        <w:t xml:space="preserve"> </w:t>
      </w:r>
      <w:r w:rsidRPr="003406D0">
        <w:rPr>
          <w:rStyle w:val="s6b621b36"/>
          <w:i/>
          <w:iCs/>
        </w:rPr>
        <w:t>Öcalan</w:t>
      </w:r>
      <w:r>
        <w:rPr>
          <w:rStyle w:val="sb8d990e2"/>
        </w:rPr>
        <w:t xml:space="preserve">, i </w:t>
      </w:r>
      <w:r w:rsidRPr="003406D0">
        <w:rPr>
          <w:rStyle w:val="s6b621b36"/>
          <w:i/>
          <w:iCs/>
        </w:rPr>
        <w:t>Schelling</w:t>
      </w:r>
      <w:r>
        <w:rPr>
          <w:rStyle w:val="s6b621b36"/>
        </w:rPr>
        <w:t xml:space="preserve"> (nr 2)</w:t>
      </w:r>
      <w:r>
        <w:rPr>
          <w:rStyle w:val="sb8d990e2"/>
        </w:rPr>
        <w:t xml:space="preserve">, </w:t>
      </w:r>
      <w:r w:rsidRPr="00115A21">
        <w:rPr>
          <w:rStyle w:val="sb8d990e2"/>
          <w:i/>
          <w:iCs/>
        </w:rPr>
        <w:t>op. cit.</w:t>
      </w:r>
      <w:r>
        <w:rPr>
          <w:rStyle w:val="sb8d990e2"/>
        </w:rPr>
        <w:t>, w których nie zarzucano jawnej nierzetelności w odniesieniu do przeprowadzenia odnośnych nowych postępowań zainicjowanych przez skarżących w tych sprawach na szczeblu krajowym). Chociaż inicjatywy skarżącej mające na celu doprowadzenie do ponownego rozpatrzenia decyzji krajowych w omawianej sprawie były bez wątpienia związane z wykonaniem wyroku Trybunału z dnia 3 maja 2007 r., jej skargi dotyczące nierzetelności późniejszego postępowania sądowego dotyczyły zarówno sytuacji różnej od rozstrzygniętej w tym wyroku, jak i zawierały nowe, istotne informacje związane z kwestiami nierozstrzygniętymi w tym wyroku.</w:t>
      </w:r>
    </w:p>
    <w:p w:rsidR="001C1275" w:rsidRPr="001666E8" w:rsidRDefault="001C1275" w:rsidP="00C264C5">
      <w:pPr>
        <w:pStyle w:val="ECHRPara"/>
        <w:rPr>
          <w:lang w:eastAsia="fr-FR"/>
        </w:rPr>
      </w:pPr>
      <w:r w:rsidRPr="005E2BCA">
        <w:rPr>
          <w:lang w:eastAsia="fr-FR"/>
        </w:rPr>
        <w:fldChar w:fldCharType="begin"/>
      </w:r>
      <w:r w:rsidRPr="005E2BCA">
        <w:rPr>
          <w:lang w:eastAsia="fr-FR"/>
        </w:rPr>
        <w:instrText xml:space="preserve"> SEQ level0 \*arabic </w:instrText>
      </w:r>
      <w:r w:rsidRPr="005E2BCA">
        <w:rPr>
          <w:lang w:eastAsia="fr-FR"/>
        </w:rPr>
        <w:fldChar w:fldCharType="separate"/>
      </w:r>
      <w:r w:rsidRPr="005E2BCA">
        <w:rPr>
          <w:noProof/>
          <w:lang w:eastAsia="fr-FR"/>
        </w:rPr>
        <w:t>38</w:t>
      </w:r>
      <w:r w:rsidRPr="005E2BCA">
        <w:rPr>
          <w:lang w:eastAsia="fr-FR"/>
        </w:rPr>
        <w:fldChar w:fldCharType="end"/>
      </w:r>
      <w:r w:rsidRPr="005E2BCA">
        <w:rPr>
          <w:lang w:eastAsia="fr-FR"/>
        </w:rPr>
        <w:t>.  </w:t>
      </w:r>
      <w:r>
        <w:rPr>
          <w:rStyle w:val="sb8d990e2"/>
        </w:rPr>
        <w:t>W konsekwencji, w omawianej sprawie „nowa kwestia", której rozważenie należy do właściwości Trybunału, bez wkraczania w prerogatywy pozwanego Państwa i Komitetu Ministrów na mocy art. 46 Konwencji, dotyczy zarzucanej nierzetelności postępowania w sprawie odwołania o charakterze wyjątkowym skarżącej, a nie jego wyniku jako takiego i wpływu postępowania na prawidłowe wykonanie wyroku Trybunału z dnia 3 maja 2007 r.</w:t>
      </w:r>
    </w:p>
    <w:p w:rsidR="001C1275" w:rsidRPr="001666E8" w:rsidRDefault="001C1275" w:rsidP="00C264C5">
      <w:pPr>
        <w:pStyle w:val="ECHRPara"/>
        <w:rPr>
          <w:lang w:eastAsia="fr-FR"/>
        </w:rPr>
      </w:pPr>
      <w:r w:rsidRPr="005E2BCA">
        <w:rPr>
          <w:lang w:eastAsia="fr-FR"/>
        </w:rPr>
        <w:fldChar w:fldCharType="begin"/>
      </w:r>
      <w:r w:rsidRPr="005E2BCA">
        <w:rPr>
          <w:lang w:eastAsia="fr-FR"/>
        </w:rPr>
        <w:instrText xml:space="preserve"> SEQ level0 \*arabic </w:instrText>
      </w:r>
      <w:r w:rsidRPr="005E2BCA">
        <w:rPr>
          <w:lang w:eastAsia="fr-FR"/>
        </w:rPr>
        <w:fldChar w:fldCharType="separate"/>
      </w:r>
      <w:r w:rsidRPr="005E2BCA">
        <w:rPr>
          <w:noProof/>
          <w:lang w:eastAsia="fr-FR"/>
        </w:rPr>
        <w:t>39</w:t>
      </w:r>
      <w:r w:rsidRPr="005E2BCA">
        <w:rPr>
          <w:lang w:eastAsia="fr-FR"/>
        </w:rPr>
        <w:fldChar w:fldCharType="end"/>
      </w:r>
      <w:r w:rsidRPr="005E2BCA">
        <w:rPr>
          <w:lang w:eastAsia="fr-FR"/>
        </w:rPr>
        <w:t>.  </w:t>
      </w:r>
      <w:r>
        <w:rPr>
          <w:rStyle w:val="sb8d990e2"/>
        </w:rPr>
        <w:t>A zatem, art. 46 Konwencji nie stoi na przeszkodzie rozpatrzeniu przez Trybunał nowej skargi skarżącej dotyczącej nierzetelności postępowania zakończonego decyzją Sądu Najwyższego z dnia 14 marca 2008 r. Trybunał zajmie się teraz kwestią, czy do zaskarżonego postępowania krajowego mają zastosowanie gwarancje rzetelności przewidziane w art. 6 ust. 1 Konwencji.</w:t>
      </w:r>
    </w:p>
    <w:p w:rsidR="001C1275" w:rsidRPr="001666E8" w:rsidRDefault="001C1275" w:rsidP="0062363B">
      <w:pPr>
        <w:pStyle w:val="ECHRHeading2"/>
        <w:rPr>
          <w:lang w:val="pl-PL"/>
        </w:rPr>
      </w:pPr>
      <w:r w:rsidRPr="005E2BCA">
        <w:rPr>
          <w:lang w:val="pl-PL"/>
        </w:rPr>
        <w:t>B.  </w:t>
      </w:r>
      <w:r w:rsidRPr="005E2BCA">
        <w:rPr>
          <w:rStyle w:val="s7d2086b4"/>
          <w:lang w:val="pl-PL"/>
        </w:rPr>
        <w:t>Czy now</w:t>
      </w:r>
      <w:r>
        <w:rPr>
          <w:rStyle w:val="s7d2086b4"/>
          <w:lang w:val="pl-PL"/>
        </w:rPr>
        <w:t>a skarga</w:t>
      </w:r>
      <w:r w:rsidRPr="005E2BCA">
        <w:rPr>
          <w:rStyle w:val="s7d2086b4"/>
          <w:lang w:val="pl-PL"/>
        </w:rPr>
        <w:t xml:space="preserve"> skarżącej </w:t>
      </w:r>
      <w:r>
        <w:rPr>
          <w:rStyle w:val="s7d2086b4"/>
          <w:lang w:val="pl-PL"/>
        </w:rPr>
        <w:t>jest</w:t>
      </w:r>
      <w:r w:rsidRPr="005E2BCA">
        <w:rPr>
          <w:rStyle w:val="s7d2086b4"/>
          <w:lang w:val="pl-PL"/>
        </w:rPr>
        <w:t xml:space="preserve"> </w:t>
      </w:r>
      <w:r w:rsidRPr="005E2BCA">
        <w:rPr>
          <w:rStyle w:val="s38c10080"/>
          <w:i/>
          <w:iCs/>
          <w:lang w:val="pl-PL"/>
        </w:rPr>
        <w:t>ratione materiae</w:t>
      </w:r>
      <w:r w:rsidRPr="005E2BCA">
        <w:rPr>
          <w:rStyle w:val="s7d2086b4"/>
          <w:lang w:val="pl-PL"/>
        </w:rPr>
        <w:t xml:space="preserve"> zgodn</w:t>
      </w:r>
      <w:r>
        <w:rPr>
          <w:rStyle w:val="s7d2086b4"/>
          <w:lang w:val="pl-PL"/>
        </w:rPr>
        <w:t>a</w:t>
      </w:r>
      <w:r w:rsidRPr="005E2BCA">
        <w:rPr>
          <w:rStyle w:val="s7d2086b4"/>
          <w:lang w:val="pl-PL"/>
        </w:rPr>
        <w:t xml:space="preserve"> z art. 6 </w:t>
      </w:r>
      <w:r w:rsidRPr="00374757">
        <w:rPr>
          <w:rStyle w:val="s7d2086b4"/>
          <w:lang w:val="pl-PL"/>
        </w:rPr>
        <w:t xml:space="preserve">ust. </w:t>
      </w:r>
      <w:r w:rsidRPr="005E2BCA">
        <w:rPr>
          <w:rStyle w:val="s7d2086b4"/>
          <w:lang w:val="pl-PL"/>
        </w:rPr>
        <w:t>1 Konwencji</w:t>
      </w:r>
    </w:p>
    <w:p w:rsidR="001C1275" w:rsidRPr="005E2BCA" w:rsidRDefault="001C1275" w:rsidP="00E13151">
      <w:pPr>
        <w:pStyle w:val="ECHRHeading3"/>
        <w:rPr>
          <w:lang w:val="pl-PL"/>
        </w:rPr>
      </w:pPr>
      <w:r w:rsidRPr="005E2BCA">
        <w:rPr>
          <w:lang w:val="pl-PL"/>
        </w:rPr>
        <w:t>1.  </w:t>
      </w:r>
      <w:r w:rsidRPr="005E2BCA">
        <w:rPr>
          <w:rStyle w:val="s6b621b36"/>
          <w:lang w:val="pl-PL"/>
        </w:rPr>
        <w:t>Stanowiska stron</w:t>
      </w:r>
    </w:p>
    <w:p w:rsidR="001C1275" w:rsidRPr="001666E8" w:rsidRDefault="001C1275" w:rsidP="00C264C5">
      <w:pPr>
        <w:pStyle w:val="ECHRPara"/>
        <w:rPr>
          <w:lang w:eastAsia="fr-FR"/>
        </w:rPr>
      </w:pPr>
      <w:r w:rsidRPr="005E2BCA">
        <w:rPr>
          <w:lang w:eastAsia="fr-FR"/>
        </w:rPr>
        <w:fldChar w:fldCharType="begin"/>
      </w:r>
      <w:r w:rsidRPr="005E2BCA">
        <w:rPr>
          <w:lang w:eastAsia="fr-FR"/>
        </w:rPr>
        <w:instrText xml:space="preserve"> SEQ level0 \*arabic </w:instrText>
      </w:r>
      <w:r w:rsidRPr="005E2BCA">
        <w:rPr>
          <w:lang w:eastAsia="fr-FR"/>
        </w:rPr>
        <w:fldChar w:fldCharType="separate"/>
      </w:r>
      <w:r w:rsidRPr="005E2BCA">
        <w:rPr>
          <w:noProof/>
          <w:lang w:eastAsia="fr-FR"/>
        </w:rPr>
        <w:t>40</w:t>
      </w:r>
      <w:r w:rsidRPr="005E2BCA">
        <w:rPr>
          <w:lang w:eastAsia="fr-FR"/>
        </w:rPr>
        <w:fldChar w:fldCharType="end"/>
      </w:r>
      <w:r w:rsidRPr="005E2BCA">
        <w:rPr>
          <w:lang w:eastAsia="fr-FR"/>
        </w:rPr>
        <w:t>.  </w:t>
      </w:r>
      <w:r>
        <w:rPr>
          <w:rStyle w:val="sb8d990e2"/>
        </w:rPr>
        <w:t>Rząd utrzymywał, że art. 6 Konwencji nie ma zastosowania do postępowania dotyczącego „odwołania w świetle wyjątkowych okoliczności" skarżącej. Argumentował, że decyzja Sądu Najwyższego z dnia 14 marca 2008 r., oddalająca pierwsze odwołanie skarżącej, była decyzją tymczasową i nie rozstrzygała o jej prawach ani obowiązkach o charakterze cywilnym. To późniejsza decyzja Sądu Najwyższego z dnia 5 czerwca 2008 r., oddalająca jej drugie odwołanie, „określiła" jej prawa i obowiązki o charakterze cywilnym. Jednakże ponieważ skarżąca nie skarżyła się, że postępowanie z czerwca 2008 r. miało wady prawne, art. 6 nie miał zastosowania.</w:t>
      </w:r>
    </w:p>
    <w:p w:rsidR="001C1275" w:rsidRPr="001666E8" w:rsidRDefault="001C1275" w:rsidP="00C264C5">
      <w:pPr>
        <w:pStyle w:val="ECHRPara"/>
        <w:rPr>
          <w:lang w:eastAsia="fr-FR"/>
        </w:rPr>
      </w:pPr>
      <w:r w:rsidRPr="005E2BCA">
        <w:rPr>
          <w:lang w:eastAsia="fr-FR"/>
        </w:rPr>
        <w:fldChar w:fldCharType="begin"/>
      </w:r>
      <w:r w:rsidRPr="005E2BCA">
        <w:rPr>
          <w:lang w:eastAsia="fr-FR"/>
        </w:rPr>
        <w:instrText xml:space="preserve"> SEQ level0 \*arabic </w:instrText>
      </w:r>
      <w:r w:rsidRPr="005E2BCA">
        <w:rPr>
          <w:lang w:eastAsia="fr-FR"/>
        </w:rPr>
        <w:fldChar w:fldCharType="separate"/>
      </w:r>
      <w:r w:rsidRPr="005E2BCA">
        <w:rPr>
          <w:noProof/>
          <w:lang w:eastAsia="fr-FR"/>
        </w:rPr>
        <w:t>41</w:t>
      </w:r>
      <w:r w:rsidRPr="005E2BCA">
        <w:rPr>
          <w:lang w:eastAsia="fr-FR"/>
        </w:rPr>
        <w:fldChar w:fldCharType="end"/>
      </w:r>
      <w:r w:rsidRPr="005E2BCA">
        <w:rPr>
          <w:lang w:eastAsia="fr-FR"/>
        </w:rPr>
        <w:t>.  </w:t>
      </w:r>
      <w:r>
        <w:rPr>
          <w:rStyle w:val="sb8d990e2"/>
        </w:rPr>
        <w:t>Skarżąca twierdziła, że art. 6 ust. 1 Konwencji miał zastosowanie do postępowania dotyczącego jej odwołania</w:t>
      </w:r>
      <w:r w:rsidRPr="008E46CF">
        <w:rPr>
          <w:rStyle w:val="sb8d990e2"/>
        </w:rPr>
        <w:t xml:space="preserve"> </w:t>
      </w:r>
      <w:r>
        <w:rPr>
          <w:rStyle w:val="sb8d990e2"/>
        </w:rPr>
        <w:t>o charakterze wyjątkowym, zakończonego decyzją Sądu Najwyższego z dnia 14 marca 2008 r.</w:t>
      </w:r>
    </w:p>
    <w:p w:rsidR="001C1275" w:rsidRPr="005E2BCA" w:rsidRDefault="001C1275" w:rsidP="00E13151">
      <w:pPr>
        <w:pStyle w:val="ECHRHeading3"/>
        <w:rPr>
          <w:lang w:val="pl-PL"/>
        </w:rPr>
      </w:pPr>
      <w:r w:rsidRPr="005E2BCA">
        <w:rPr>
          <w:lang w:val="pl-PL"/>
        </w:rPr>
        <w:t>2.  Ocena Trybunału</w:t>
      </w:r>
    </w:p>
    <w:p w:rsidR="001C1275" w:rsidRPr="005E2BCA" w:rsidRDefault="001C1275" w:rsidP="00E13151">
      <w:pPr>
        <w:pStyle w:val="ECHRHeading4"/>
        <w:rPr>
          <w:lang w:val="pl-PL"/>
        </w:rPr>
      </w:pPr>
      <w:r w:rsidRPr="005E2BCA">
        <w:rPr>
          <w:lang w:val="pl-PL"/>
        </w:rPr>
        <w:t>(a)  Zasady ogólne</w:t>
      </w:r>
    </w:p>
    <w:p w:rsidR="001C1275" w:rsidRPr="00FF2DAF" w:rsidRDefault="001C1275" w:rsidP="00FA793D">
      <w:pPr>
        <w:pStyle w:val="ECHRPara"/>
      </w:pPr>
      <w:fldSimple w:instr=" SEQ level0 \*arabic ">
        <w:r w:rsidRPr="005E2BCA">
          <w:rPr>
            <w:noProof/>
          </w:rPr>
          <w:t>42</w:t>
        </w:r>
      </w:fldSimple>
      <w:r w:rsidRPr="005E2BCA">
        <w:t>.  </w:t>
      </w:r>
      <w:r>
        <w:rPr>
          <w:rStyle w:val="sb8d990e2"/>
        </w:rPr>
        <w:t>Trybunał powtarza, że aby część cywilna art. 6 ust. 1 miała zastosowanie, musi istnieć spór („</w:t>
      </w:r>
      <w:r>
        <w:rPr>
          <w:rStyle w:val="s6b621b36"/>
          <w:i/>
          <w:iCs/>
        </w:rPr>
        <w:t>contestation</w:t>
      </w:r>
      <w:r>
        <w:rPr>
          <w:rStyle w:val="sb8d990e2"/>
        </w:rPr>
        <w:t xml:space="preserve">" w tekście francuskim) co do „prawa", wobec którego można stwierdzić, co najmniej ze znaczącym prawdopodobieństwem, że jest ono uznawane w przepisach prawa krajowego, bez względu na to, czy prawo to jest chronione na mocy Konwencji. Spór ten musi mieć charakter poważny i autentyczny; może dotyczyć nie tylko samego istnienia prawa, ale także jego zakresu oraz sposobu jego wykonywania; ponadto zaś wynik danego postępowania musi mieć bezpośredni, decydujący wpływ na przedmiotowe prawo. Subtelne powiązania lub odległe konsekwencje są niewystarczające, aby skutecznie powołać się na art. 6 </w:t>
      </w:r>
      <w:r w:rsidRPr="00374757">
        <w:rPr>
          <w:rStyle w:val="sb8d990e2"/>
        </w:rPr>
        <w:t xml:space="preserve">ust. </w:t>
      </w:r>
      <w:r>
        <w:rPr>
          <w:rStyle w:val="sb8d990e2"/>
        </w:rPr>
        <w:t xml:space="preserve">1 (patrz między innymi </w:t>
      </w:r>
      <w:r w:rsidRPr="005C146B">
        <w:rPr>
          <w:rStyle w:val="s6b621b36"/>
          <w:i/>
          <w:iCs/>
        </w:rPr>
        <w:t>Micallef przeciwko Mal</w:t>
      </w:r>
      <w:r>
        <w:rPr>
          <w:rStyle w:val="s6b621b36"/>
          <w:i/>
          <w:iCs/>
        </w:rPr>
        <w:t>cie</w:t>
      </w:r>
      <w:r>
        <w:rPr>
          <w:rStyle w:val="sb8d990e2"/>
        </w:rPr>
        <w:t xml:space="preserve"> [Wielka Izba], nr </w:t>
      </w:r>
      <w:r w:rsidRPr="00CF5AF9">
        <w:t>17056/06</w:t>
      </w:r>
      <w:r>
        <w:rPr>
          <w:rStyle w:val="sb8d990e2"/>
        </w:rPr>
        <w:t>, § 74, ETPC 2009; oraz</w:t>
      </w:r>
      <w:r>
        <w:rPr>
          <w:rStyle w:val="s6b621b36"/>
        </w:rPr>
        <w:t xml:space="preserve"> </w:t>
      </w:r>
      <w:r w:rsidRPr="005C146B">
        <w:rPr>
          <w:rStyle w:val="s6b621b36"/>
          <w:i/>
          <w:iCs/>
        </w:rPr>
        <w:t>Boulois przeciwko Luksemburgowi</w:t>
      </w:r>
      <w:r>
        <w:rPr>
          <w:rStyle w:val="s6b621b36"/>
        </w:rPr>
        <w:t xml:space="preserve"> </w:t>
      </w:r>
      <w:r>
        <w:rPr>
          <w:rStyle w:val="sb8d990e2"/>
        </w:rPr>
        <w:t xml:space="preserve">[Wielka Izba], nr </w:t>
      </w:r>
      <w:r w:rsidRPr="00CF5AF9">
        <w:t>37575/04</w:t>
      </w:r>
      <w:r>
        <w:rPr>
          <w:rStyle w:val="sb8d990e2"/>
        </w:rPr>
        <w:t>, § 90, ETPC 2012).</w:t>
      </w:r>
    </w:p>
    <w:p w:rsidR="001C1275" w:rsidRPr="00FF2DAF" w:rsidRDefault="001C1275" w:rsidP="007963D0">
      <w:pPr>
        <w:pStyle w:val="ECHRPara"/>
      </w:pPr>
      <w:fldSimple w:instr=" SEQ level0 \*arabic ">
        <w:r w:rsidRPr="005E2BCA">
          <w:rPr>
            <w:noProof/>
          </w:rPr>
          <w:t>43</w:t>
        </w:r>
      </w:fldSimple>
      <w:r w:rsidRPr="005E2BCA">
        <w:t>.  </w:t>
      </w:r>
      <w:r>
        <w:rPr>
          <w:rStyle w:val="sb8d990e2"/>
        </w:rPr>
        <w:t xml:space="preserve">W tym zakresie charakter ustawodawstwa regulującego sposób rozstrzygnięcia sprawy (prawo cywilne, administracyjne, handlowe itd.) oraz charakter organu właściwego w danej sprawie (sąd powszechny, organ administracyjny itd.) nie mają decydujących konsekwencji (patrz </w:t>
      </w:r>
      <w:r w:rsidRPr="00665B57">
        <w:rPr>
          <w:rStyle w:val="s6b621b36"/>
          <w:i/>
          <w:iCs/>
        </w:rPr>
        <w:t>Micallef</w:t>
      </w:r>
      <w:r>
        <w:rPr>
          <w:rStyle w:val="sb8d990e2"/>
        </w:rPr>
        <w:t xml:space="preserve">, </w:t>
      </w:r>
      <w:r w:rsidRPr="00115A21">
        <w:rPr>
          <w:rStyle w:val="sb8d990e2"/>
          <w:i/>
          <w:iCs/>
        </w:rPr>
        <w:t>op. cit.</w:t>
      </w:r>
      <w:r>
        <w:rPr>
          <w:rStyle w:val="sb8d990e2"/>
        </w:rPr>
        <w:t>, § 74).</w:t>
      </w:r>
    </w:p>
    <w:p w:rsidR="001C1275" w:rsidRPr="00FF2DAF" w:rsidRDefault="001C1275" w:rsidP="00735315">
      <w:pPr>
        <w:pStyle w:val="ECHRHeading4"/>
        <w:rPr>
          <w:lang w:val="pl-PL"/>
        </w:rPr>
      </w:pPr>
      <w:r w:rsidRPr="00FF2DAF">
        <w:rPr>
          <w:lang w:val="pl-PL"/>
        </w:rPr>
        <w:t>(b)  </w:t>
      </w:r>
      <w:r w:rsidRPr="005E2BCA">
        <w:rPr>
          <w:rStyle w:val="sdfc50a6a"/>
          <w:lang w:val="pl-PL"/>
        </w:rPr>
        <w:t xml:space="preserve">Orzecznictwo dotyczące </w:t>
      </w:r>
      <w:r w:rsidRPr="005E2BCA">
        <w:rPr>
          <w:rStyle w:val="sb8d990e2"/>
          <w:lang w:val="pl-PL"/>
        </w:rPr>
        <w:t>zastosowania</w:t>
      </w:r>
      <w:r w:rsidRPr="005E2BCA">
        <w:rPr>
          <w:rStyle w:val="sdfc50a6a"/>
          <w:lang w:val="pl-PL"/>
        </w:rPr>
        <w:t xml:space="preserve"> art. 6 do postępowa</w:t>
      </w:r>
      <w:r>
        <w:rPr>
          <w:rStyle w:val="sdfc50a6a"/>
          <w:lang w:val="pl-PL"/>
        </w:rPr>
        <w:t>ń</w:t>
      </w:r>
      <w:r w:rsidRPr="005E2BCA">
        <w:rPr>
          <w:rStyle w:val="sdfc50a6a"/>
          <w:lang w:val="pl-PL"/>
        </w:rPr>
        <w:t xml:space="preserve"> w sprawie </w:t>
      </w:r>
      <w:r>
        <w:rPr>
          <w:rStyle w:val="sdfc50a6a"/>
          <w:lang w:val="pl-PL"/>
        </w:rPr>
        <w:t>nadzwyczajnych</w:t>
      </w:r>
      <w:r w:rsidRPr="005E2BCA">
        <w:rPr>
          <w:rStyle w:val="sdfc50a6a"/>
          <w:lang w:val="pl-PL"/>
        </w:rPr>
        <w:t xml:space="preserve"> </w:t>
      </w:r>
      <w:r>
        <w:rPr>
          <w:rStyle w:val="sdfc50a6a"/>
          <w:lang w:val="pl-PL"/>
        </w:rPr>
        <w:t>środków odwoławczych</w:t>
      </w:r>
    </w:p>
    <w:p w:rsidR="001C1275" w:rsidRPr="00030AEB" w:rsidRDefault="001C1275" w:rsidP="0029057E">
      <w:pPr>
        <w:pStyle w:val="ECHRPara"/>
      </w:pPr>
      <w:fldSimple w:instr=" SEQ level0 \*arabic ">
        <w:r w:rsidRPr="00030AEB">
          <w:rPr>
            <w:noProof/>
          </w:rPr>
          <w:t>44</w:t>
        </w:r>
      </w:fldSimple>
      <w:r w:rsidRPr="005E2BCA">
        <w:rPr>
          <w:rStyle w:val="Heading6Char"/>
          <w:lang w:val="pl-PL"/>
        </w:rPr>
        <w:t xml:space="preserve"> </w:t>
      </w:r>
      <w:r>
        <w:rPr>
          <w:rStyle w:val="sb8d990e2"/>
        </w:rPr>
        <w:t>Zgodnie z powyższymi zasadami oraz od dawna ugruntowanym orzecznictwem, Konwencja nie gwarantuje prawa do wznowienia</w:t>
      </w:r>
      <w:r w:rsidDel="00E97D7F">
        <w:rPr>
          <w:rStyle w:val="sb8d990e2"/>
        </w:rPr>
        <w:t xml:space="preserve"> </w:t>
      </w:r>
      <w:r>
        <w:rPr>
          <w:rStyle w:val="sb8d990e2"/>
        </w:rPr>
        <w:t>zamkniętej sprawy. Nadzwyczajne środki odwoławcze, których celem jest wznowienie</w:t>
      </w:r>
      <w:r w:rsidDel="00E97D7F">
        <w:rPr>
          <w:rStyle w:val="sb8d990e2"/>
        </w:rPr>
        <w:t xml:space="preserve"> </w:t>
      </w:r>
      <w:r>
        <w:rPr>
          <w:rStyle w:val="sb8d990e2"/>
        </w:rPr>
        <w:t xml:space="preserve">zakończonego postępowania sądowego, nie wiążą się zazwyczaj z rozstrzyganiem o „prawach i obowiązkach o charakterze cywilnym" ani „każdego oskarżenia w … sprawie karnej", w związku z czym uznaje się, że art. 6 nie ma do nich zastosowania (patrz między innymi </w:t>
      </w:r>
      <w:r w:rsidRPr="005C146B">
        <w:rPr>
          <w:rStyle w:val="s6b621b36"/>
          <w:i/>
          <w:iCs/>
        </w:rPr>
        <w:t>X. przeciwko Austrii</w:t>
      </w:r>
      <w:r>
        <w:rPr>
          <w:rStyle w:val="sb8d990e2"/>
        </w:rPr>
        <w:t xml:space="preserve">, nr </w:t>
      </w:r>
      <w:r w:rsidRPr="00CF5AF9">
        <w:t>7761/77</w:t>
      </w:r>
      <w:r>
        <w:rPr>
          <w:rStyle w:val="sb8d990e2"/>
        </w:rPr>
        <w:t xml:space="preserve">, decyzja Komisji z dnia 8 maja 1978 r., D.R. 14, s. 171; </w:t>
      </w:r>
      <w:r w:rsidRPr="005C146B">
        <w:rPr>
          <w:rStyle w:val="s6b621b36"/>
          <w:i/>
          <w:iCs/>
        </w:rPr>
        <w:t>Surmont i De Meurechy przeciwko Belgii</w:t>
      </w:r>
      <w:r>
        <w:rPr>
          <w:rStyle w:val="sb8d990e2"/>
        </w:rPr>
        <w:t xml:space="preserve">, nr </w:t>
      </w:r>
      <w:r w:rsidRPr="00CF5AF9">
        <w:t>13601/88</w:t>
      </w:r>
      <w:r>
        <w:rPr>
          <w:rStyle w:val="sb8d990e2"/>
        </w:rPr>
        <w:t xml:space="preserve"> i </w:t>
      </w:r>
      <w:r w:rsidRPr="00CF5AF9">
        <w:t>13602/88</w:t>
      </w:r>
      <w:r>
        <w:rPr>
          <w:rStyle w:val="sb8d990e2"/>
        </w:rPr>
        <w:t xml:space="preserve">, decyzja Komisji z dnia 6 czerwca 1989 r., D.R. 62, p. 284; </w:t>
      </w:r>
      <w:r w:rsidRPr="005C146B">
        <w:rPr>
          <w:rStyle w:val="s6b621b36"/>
          <w:i/>
          <w:iCs/>
        </w:rPr>
        <w:t>J.F. przeciwko Francji</w:t>
      </w:r>
      <w:r w:rsidRPr="005C146B">
        <w:rPr>
          <w:rStyle w:val="sb8d990e2"/>
          <w:i/>
          <w:iCs/>
        </w:rPr>
        <w:t xml:space="preserve"> </w:t>
      </w:r>
      <w:r>
        <w:rPr>
          <w:rStyle w:val="sb8d990e2"/>
        </w:rPr>
        <w:t xml:space="preserve">(dec.), nr </w:t>
      </w:r>
      <w:r w:rsidRPr="00CF5AF9">
        <w:t>39616/98</w:t>
      </w:r>
      <w:r>
        <w:rPr>
          <w:rStyle w:val="sb8d990e2"/>
        </w:rPr>
        <w:t xml:space="preserve">, 20 kwietnia 1999 r.; </w:t>
      </w:r>
      <w:r w:rsidRPr="005C146B">
        <w:rPr>
          <w:rStyle w:val="s6b621b36"/>
          <w:i/>
          <w:iCs/>
        </w:rPr>
        <w:t>Zawadzki przeciwko Polsce</w:t>
      </w:r>
      <w:r>
        <w:rPr>
          <w:rStyle w:val="sb8d990e2"/>
        </w:rPr>
        <w:t xml:space="preserve"> (dec.) nr </w:t>
      </w:r>
      <w:r w:rsidRPr="00CF5AF9">
        <w:t>34158/96</w:t>
      </w:r>
      <w:r>
        <w:rPr>
          <w:rStyle w:val="sb8d990e2"/>
        </w:rPr>
        <w:t xml:space="preserve">, 6 lipca 1999 r.; </w:t>
      </w:r>
      <w:r w:rsidRPr="005C146B">
        <w:rPr>
          <w:rStyle w:val="s6b621b36"/>
          <w:i/>
          <w:iCs/>
        </w:rPr>
        <w:t>Sonnleitner przeciwko Austrii</w:t>
      </w:r>
      <w:r>
        <w:rPr>
          <w:rStyle w:val="sb8d990e2"/>
        </w:rPr>
        <w:t xml:space="preserve"> (dec.) nr </w:t>
      </w:r>
      <w:r w:rsidRPr="00CF5AF9">
        <w:t>34813/97</w:t>
      </w:r>
      <w:r>
        <w:rPr>
          <w:rStyle w:val="sb8d990e2"/>
        </w:rPr>
        <w:t xml:space="preserve">, 6 stycznia 2000 r.; </w:t>
      </w:r>
      <w:r w:rsidRPr="005C146B">
        <w:rPr>
          <w:rStyle w:val="s6b621b36"/>
          <w:i/>
          <w:iCs/>
        </w:rPr>
        <w:t>Sablon</w:t>
      </w:r>
      <w:r>
        <w:rPr>
          <w:rStyle w:val="s6b621b36"/>
        </w:rPr>
        <w:t xml:space="preserve"> </w:t>
      </w:r>
      <w:r w:rsidRPr="005C146B">
        <w:rPr>
          <w:rStyle w:val="s6b621b36"/>
          <w:i/>
          <w:iCs/>
        </w:rPr>
        <w:t>przeciwko</w:t>
      </w:r>
      <w:r>
        <w:rPr>
          <w:rStyle w:val="s6b621b36"/>
        </w:rPr>
        <w:t xml:space="preserve"> </w:t>
      </w:r>
      <w:r w:rsidRPr="005C146B">
        <w:rPr>
          <w:rStyle w:val="s6b621b36"/>
          <w:i/>
          <w:iCs/>
        </w:rPr>
        <w:t>Belgii</w:t>
      </w:r>
      <w:r>
        <w:rPr>
          <w:rStyle w:val="sb8d990e2"/>
        </w:rPr>
        <w:t xml:space="preserve">, nr </w:t>
      </w:r>
      <w:r w:rsidRPr="00CF5AF9">
        <w:t>36445/97</w:t>
      </w:r>
      <w:r>
        <w:rPr>
          <w:rStyle w:val="sb8d990e2"/>
        </w:rPr>
        <w:t xml:space="preserve">, § 86, 10 kwietnia 2001 r.; </w:t>
      </w:r>
      <w:r w:rsidRPr="005C146B">
        <w:rPr>
          <w:rStyle w:val="s6b621b36"/>
          <w:i/>
          <w:iCs/>
        </w:rPr>
        <w:t>Valentin</w:t>
      </w:r>
      <w:r>
        <w:rPr>
          <w:rStyle w:val="s6b621b36"/>
        </w:rPr>
        <w:t xml:space="preserve"> </w:t>
      </w:r>
      <w:r w:rsidRPr="005C146B">
        <w:rPr>
          <w:rStyle w:val="s6b621b36"/>
          <w:i/>
          <w:iCs/>
        </w:rPr>
        <w:t>Gorizdra</w:t>
      </w:r>
      <w:r>
        <w:rPr>
          <w:rStyle w:val="s6b621b36"/>
        </w:rPr>
        <w:t xml:space="preserve"> </w:t>
      </w:r>
      <w:r w:rsidRPr="005C146B">
        <w:rPr>
          <w:rStyle w:val="s6b621b36"/>
          <w:i/>
          <w:iCs/>
        </w:rPr>
        <w:t>przeciwko</w:t>
      </w:r>
      <w:r>
        <w:rPr>
          <w:rStyle w:val="s6b621b36"/>
        </w:rPr>
        <w:t xml:space="preserve"> </w:t>
      </w:r>
      <w:r w:rsidRPr="005C146B">
        <w:rPr>
          <w:rStyle w:val="s6b621b36"/>
          <w:i/>
          <w:iCs/>
        </w:rPr>
        <w:t>Mołdawii</w:t>
      </w:r>
      <w:r>
        <w:rPr>
          <w:rStyle w:val="sb8d990e2"/>
        </w:rPr>
        <w:t xml:space="preserve"> (dec.) nr </w:t>
      </w:r>
      <w:r w:rsidRPr="00CF5AF9">
        <w:t>53180/99</w:t>
      </w:r>
      <w:r>
        <w:rPr>
          <w:rStyle w:val="sb8d990e2"/>
        </w:rPr>
        <w:t xml:space="preserve">, 2 lipca 2002 r.; </w:t>
      </w:r>
      <w:r w:rsidRPr="005C146B">
        <w:rPr>
          <w:rStyle w:val="s6b621b36"/>
          <w:i/>
          <w:iCs/>
        </w:rPr>
        <w:t>Kucera</w:t>
      </w:r>
      <w:r>
        <w:rPr>
          <w:rStyle w:val="s6b621b36"/>
        </w:rPr>
        <w:t xml:space="preserve"> </w:t>
      </w:r>
      <w:r w:rsidRPr="005C146B">
        <w:rPr>
          <w:rStyle w:val="s6b621b36"/>
          <w:i/>
          <w:iCs/>
        </w:rPr>
        <w:t>przeciwko</w:t>
      </w:r>
      <w:r>
        <w:rPr>
          <w:rStyle w:val="s6b621b36"/>
        </w:rPr>
        <w:t xml:space="preserve"> </w:t>
      </w:r>
      <w:r w:rsidRPr="005C146B">
        <w:rPr>
          <w:rStyle w:val="s6b621b36"/>
          <w:i/>
          <w:iCs/>
        </w:rPr>
        <w:t>Austrii</w:t>
      </w:r>
      <w:r>
        <w:rPr>
          <w:rStyle w:val="sb8d990e2"/>
        </w:rPr>
        <w:t xml:space="preserve">, nr </w:t>
      </w:r>
      <w:r w:rsidRPr="00CF5AF9">
        <w:t>40072/98</w:t>
      </w:r>
      <w:r>
        <w:rPr>
          <w:rStyle w:val="sb8d990e2"/>
        </w:rPr>
        <w:t xml:space="preserve">, 3 października 2002 r.; </w:t>
      </w:r>
      <w:r w:rsidRPr="005C146B">
        <w:rPr>
          <w:rStyle w:val="s6b621b36"/>
          <w:i/>
          <w:iCs/>
        </w:rPr>
        <w:t>Fischer</w:t>
      </w:r>
      <w:r>
        <w:rPr>
          <w:rStyle w:val="sb8d990e2"/>
        </w:rPr>
        <w:t xml:space="preserve">, </w:t>
      </w:r>
      <w:r w:rsidRPr="00115A21">
        <w:rPr>
          <w:rStyle w:val="sb8d990e2"/>
          <w:i/>
          <w:iCs/>
        </w:rPr>
        <w:t>op. cit.</w:t>
      </w:r>
      <w:r>
        <w:rPr>
          <w:rStyle w:val="sb8d990e2"/>
        </w:rPr>
        <w:t xml:space="preserve">; </w:t>
      </w:r>
      <w:r w:rsidRPr="005C146B">
        <w:rPr>
          <w:rStyle w:val="s6b621b36"/>
          <w:i/>
          <w:iCs/>
        </w:rPr>
        <w:t>Jussy</w:t>
      </w:r>
      <w:r>
        <w:rPr>
          <w:rStyle w:val="s6b621b36"/>
        </w:rPr>
        <w:t xml:space="preserve"> </w:t>
      </w:r>
      <w:r w:rsidRPr="005C146B">
        <w:rPr>
          <w:rStyle w:val="s6b621b36"/>
          <w:i/>
          <w:iCs/>
        </w:rPr>
        <w:t>przeciwko</w:t>
      </w:r>
      <w:r>
        <w:rPr>
          <w:rStyle w:val="s6b621b36"/>
        </w:rPr>
        <w:t xml:space="preserve"> </w:t>
      </w:r>
      <w:r w:rsidRPr="005C146B">
        <w:rPr>
          <w:rStyle w:val="s6b621b36"/>
          <w:i/>
          <w:iCs/>
        </w:rPr>
        <w:t>Francji</w:t>
      </w:r>
      <w:r>
        <w:rPr>
          <w:rStyle w:val="sb8d990e2"/>
        </w:rPr>
        <w:t>,</w:t>
      </w:r>
      <w:r>
        <w:rPr>
          <w:rStyle w:val="s6b621b36"/>
        </w:rPr>
        <w:t xml:space="preserve"> </w:t>
      </w:r>
      <w:r>
        <w:rPr>
          <w:rStyle w:val="sb8d990e2"/>
        </w:rPr>
        <w:t xml:space="preserve">nr </w:t>
      </w:r>
      <w:r w:rsidRPr="00CF5AF9">
        <w:t>42277/98</w:t>
      </w:r>
      <w:r>
        <w:rPr>
          <w:rStyle w:val="sb8d990e2"/>
        </w:rPr>
        <w:t xml:space="preserve">, § 18, 8 kwietnia 2003 r.; </w:t>
      </w:r>
      <w:r w:rsidRPr="005C146B">
        <w:rPr>
          <w:rStyle w:val="s6b621b36"/>
          <w:i/>
          <w:iCs/>
        </w:rPr>
        <w:t>Dankevich</w:t>
      </w:r>
      <w:r>
        <w:rPr>
          <w:rStyle w:val="s6b621b36"/>
        </w:rPr>
        <w:t xml:space="preserve"> </w:t>
      </w:r>
      <w:r w:rsidRPr="005C146B">
        <w:rPr>
          <w:rStyle w:val="s6b621b36"/>
          <w:i/>
          <w:iCs/>
        </w:rPr>
        <w:t>przeciwko</w:t>
      </w:r>
      <w:r>
        <w:rPr>
          <w:rStyle w:val="s6b621b36"/>
        </w:rPr>
        <w:t xml:space="preserve"> </w:t>
      </w:r>
      <w:r w:rsidRPr="005C146B">
        <w:rPr>
          <w:rStyle w:val="s6b621b36"/>
          <w:i/>
          <w:iCs/>
        </w:rPr>
        <w:t>Ukrainie</w:t>
      </w:r>
      <w:r>
        <w:rPr>
          <w:rStyle w:val="sb8d990e2"/>
        </w:rPr>
        <w:t>,</w:t>
      </w:r>
      <w:r>
        <w:rPr>
          <w:rStyle w:val="s6b621b36"/>
        </w:rPr>
        <w:t xml:space="preserve"> </w:t>
      </w:r>
      <w:r>
        <w:rPr>
          <w:rStyle w:val="sb8d990e2"/>
        </w:rPr>
        <w:t xml:space="preserve">nr </w:t>
      </w:r>
      <w:r w:rsidRPr="00CF5AF9">
        <w:t>40679/98</w:t>
      </w:r>
      <w:r>
        <w:rPr>
          <w:rStyle w:val="sb8d990e2"/>
        </w:rPr>
        <w:t xml:space="preserve">, 29 kwietnia 2003 r.; </w:t>
      </w:r>
      <w:r w:rsidRPr="005C146B">
        <w:rPr>
          <w:rStyle w:val="s6b621b36"/>
          <w:i/>
          <w:iCs/>
        </w:rPr>
        <w:t>Steck</w:t>
      </w:r>
      <w:r>
        <w:rPr>
          <w:rStyle w:val="s6b621b36"/>
        </w:rPr>
        <w:t>-</w:t>
      </w:r>
      <w:r w:rsidRPr="005C146B">
        <w:rPr>
          <w:rStyle w:val="s6b621b36"/>
          <w:i/>
          <w:iCs/>
        </w:rPr>
        <w:t>Risch</w:t>
      </w:r>
      <w:r>
        <w:rPr>
          <w:rStyle w:val="s6b621b36"/>
        </w:rPr>
        <w:t xml:space="preserve"> </w:t>
      </w:r>
      <w:r w:rsidRPr="005C146B">
        <w:rPr>
          <w:rStyle w:val="s6b621b36"/>
          <w:i/>
          <w:iCs/>
        </w:rPr>
        <w:t>i Inni</w:t>
      </w:r>
      <w:r>
        <w:rPr>
          <w:rStyle w:val="sb8d990e2"/>
        </w:rPr>
        <w:t xml:space="preserve">, </w:t>
      </w:r>
      <w:r w:rsidRPr="00115A21">
        <w:rPr>
          <w:rStyle w:val="sb8d990e2"/>
          <w:i/>
          <w:iCs/>
        </w:rPr>
        <w:t>op. cit.</w:t>
      </w:r>
      <w:r>
        <w:rPr>
          <w:rStyle w:val="sb8d990e2"/>
        </w:rPr>
        <w:t xml:space="preserve">; </w:t>
      </w:r>
      <w:r w:rsidRPr="005C146B">
        <w:rPr>
          <w:rStyle w:val="s6b621b36"/>
          <w:i/>
          <w:iCs/>
        </w:rPr>
        <w:t>Öcalan</w:t>
      </w:r>
      <w:r>
        <w:rPr>
          <w:rStyle w:val="sb8d990e2"/>
        </w:rPr>
        <w:t xml:space="preserve">, </w:t>
      </w:r>
      <w:r w:rsidRPr="00115A21">
        <w:rPr>
          <w:rStyle w:val="sb8d990e2"/>
          <w:i/>
          <w:iCs/>
        </w:rPr>
        <w:t>op. cit.</w:t>
      </w:r>
      <w:r>
        <w:rPr>
          <w:rStyle w:val="sb8d990e2"/>
        </w:rPr>
        <w:t xml:space="preserve">; </w:t>
      </w:r>
      <w:r w:rsidRPr="005C146B">
        <w:rPr>
          <w:rStyle w:val="s6b621b36"/>
          <w:i/>
          <w:iCs/>
        </w:rPr>
        <w:t>Schelling</w:t>
      </w:r>
      <w:r>
        <w:rPr>
          <w:rStyle w:val="s6b621b36"/>
        </w:rPr>
        <w:t xml:space="preserve"> (nr 2)</w:t>
      </w:r>
      <w:r>
        <w:rPr>
          <w:rStyle w:val="sb8d990e2"/>
        </w:rPr>
        <w:t xml:space="preserve">, </w:t>
      </w:r>
      <w:r w:rsidRPr="00115A21">
        <w:rPr>
          <w:rStyle w:val="sb8d990e2"/>
          <w:i/>
          <w:iCs/>
        </w:rPr>
        <w:t>op. cit.</w:t>
      </w:r>
      <w:r>
        <w:rPr>
          <w:rStyle w:val="sb8d990e2"/>
        </w:rPr>
        <w:t xml:space="preserve">; </w:t>
      </w:r>
      <w:r w:rsidRPr="005C146B">
        <w:rPr>
          <w:rStyle w:val="s6b621b36"/>
          <w:i/>
          <w:iCs/>
        </w:rPr>
        <w:t>Hurter</w:t>
      </w:r>
      <w:r>
        <w:rPr>
          <w:rStyle w:val="s6b621b36"/>
        </w:rPr>
        <w:t xml:space="preserve"> </w:t>
      </w:r>
      <w:r w:rsidRPr="005C146B">
        <w:rPr>
          <w:rStyle w:val="s6b621b36"/>
          <w:i/>
          <w:iCs/>
        </w:rPr>
        <w:t>przeciwko</w:t>
      </w:r>
      <w:r>
        <w:rPr>
          <w:rStyle w:val="s6b621b36"/>
        </w:rPr>
        <w:t xml:space="preserve"> </w:t>
      </w:r>
      <w:r w:rsidRPr="005C146B">
        <w:rPr>
          <w:rStyle w:val="s6b621b36"/>
          <w:i/>
          <w:iCs/>
        </w:rPr>
        <w:t>Szwajcarii</w:t>
      </w:r>
      <w:r>
        <w:rPr>
          <w:rStyle w:val="s6b621b36"/>
        </w:rPr>
        <w:t xml:space="preserve"> </w:t>
      </w:r>
      <w:r>
        <w:rPr>
          <w:rStyle w:val="sb8d990e2"/>
        </w:rPr>
        <w:t xml:space="preserve"> (dec.), nr </w:t>
      </w:r>
      <w:r w:rsidRPr="00CF5AF9">
        <w:t>48111/07</w:t>
      </w:r>
      <w:r>
        <w:rPr>
          <w:rStyle w:val="sb8d990e2"/>
        </w:rPr>
        <w:t xml:space="preserve">, 15 maja 2012 r.; </w:t>
      </w:r>
      <w:r w:rsidRPr="005C146B">
        <w:rPr>
          <w:rStyle w:val="s6b621b36"/>
          <w:i/>
          <w:iCs/>
        </w:rPr>
        <w:t>Dybeku</w:t>
      </w:r>
      <w:r>
        <w:rPr>
          <w:rStyle w:val="s6b621b36"/>
        </w:rPr>
        <w:t xml:space="preserve"> </w:t>
      </w:r>
      <w:r w:rsidRPr="005C146B">
        <w:rPr>
          <w:rStyle w:val="s6b621b36"/>
          <w:i/>
          <w:iCs/>
        </w:rPr>
        <w:t>przeciwko</w:t>
      </w:r>
      <w:r>
        <w:rPr>
          <w:rStyle w:val="s6b621b36"/>
        </w:rPr>
        <w:t xml:space="preserve"> </w:t>
      </w:r>
      <w:r w:rsidRPr="005C146B">
        <w:rPr>
          <w:rStyle w:val="s6b621b36"/>
          <w:i/>
          <w:iCs/>
        </w:rPr>
        <w:t>Albanii</w:t>
      </w:r>
      <w:r>
        <w:rPr>
          <w:rStyle w:val="sb8d990e2"/>
        </w:rPr>
        <w:t xml:space="preserve"> (dec.), nr </w:t>
      </w:r>
      <w:r w:rsidRPr="00CF5AF9">
        <w:t>557/12</w:t>
      </w:r>
      <w:r>
        <w:rPr>
          <w:rStyle w:val="sb8d990e2"/>
        </w:rPr>
        <w:t xml:space="preserve">, § 30, 11 marca 2014 r.). Jest to spowodowane – w zakresie, w jakim sprawa jest objęta zasadą </w:t>
      </w:r>
      <w:r>
        <w:rPr>
          <w:rStyle w:val="s6b621b36"/>
          <w:i/>
          <w:iCs/>
        </w:rPr>
        <w:t>res iudicata</w:t>
      </w:r>
      <w:r>
        <w:rPr>
          <w:rStyle w:val="sb8d990e2"/>
        </w:rPr>
        <w:t xml:space="preserve"> ostatecznego wyroku zapadłego w postępowaniu krajowym – tym, że nie można zasadniczo utrzymywać, że dalsze nadzwyczajne skargi lub odwołania domagające się zmiany tego wyroku prowadzą do możliwych do obrony roszczeń co do istnienia prawa do ponownego rozważenia sprawy zgodnie z przepisami krajowymi lub że wynik postępowania, w którym podejmowana jest decyzja, czy przeprowadzić takie ponowne rozważenie sprawy, ma decydujące znaczenie w kontekście „rozstrzygania o ... prawach i obowiązkach o charakterze cywilnym albo o zasadności każdego oskarżenia … w sprawie karnej” (porównaj dla kontrastu </w:t>
      </w:r>
      <w:r w:rsidRPr="005C146B">
        <w:rPr>
          <w:rStyle w:val="s6b621b36"/>
          <w:i/>
          <w:iCs/>
        </w:rPr>
        <w:t>Melis przeciwko Grecji</w:t>
      </w:r>
      <w:r>
        <w:rPr>
          <w:rStyle w:val="sb8d990e2"/>
        </w:rPr>
        <w:t xml:space="preserve">, nr </w:t>
      </w:r>
      <w:r w:rsidRPr="00CF5AF9">
        <w:t>30604/07</w:t>
      </w:r>
      <w:r>
        <w:rPr>
          <w:rStyle w:val="sb8d990e2"/>
        </w:rPr>
        <w:t>, §§ 18-20, 22 lipca 2010 r., w którym odchodzi się od omawianego podejścia).</w:t>
      </w:r>
    </w:p>
    <w:p w:rsidR="001C1275" w:rsidRPr="00E07F09" w:rsidRDefault="001C1275" w:rsidP="008847BC">
      <w:pPr>
        <w:pStyle w:val="ECHRPara"/>
        <w:rPr>
          <w:sz w:val="20"/>
          <w:szCs w:val="20"/>
          <w:lang w:eastAsia="fr-FR"/>
        </w:rPr>
      </w:pPr>
      <w:r w:rsidRPr="0024145B">
        <w:rPr>
          <w:lang w:eastAsia="fr-FR"/>
        </w:rPr>
        <w:fldChar w:fldCharType="begin"/>
      </w:r>
      <w:r w:rsidRPr="0024145B">
        <w:rPr>
          <w:lang w:eastAsia="fr-FR"/>
        </w:rPr>
        <w:instrText xml:space="preserve"> SEQ level0 \*arabic </w:instrText>
      </w:r>
      <w:r w:rsidRPr="0024145B">
        <w:rPr>
          <w:lang w:eastAsia="fr-FR"/>
        </w:rPr>
        <w:fldChar w:fldCharType="separate"/>
      </w:r>
      <w:r w:rsidRPr="0024145B">
        <w:rPr>
          <w:noProof/>
          <w:lang w:eastAsia="fr-FR"/>
        </w:rPr>
        <w:t>45</w:t>
      </w:r>
      <w:r w:rsidRPr="0024145B">
        <w:rPr>
          <w:lang w:eastAsia="fr-FR"/>
        </w:rPr>
        <w:fldChar w:fldCharType="end"/>
      </w:r>
      <w:r w:rsidRPr="0024145B">
        <w:rPr>
          <w:lang w:eastAsia="fr-FR"/>
        </w:rPr>
        <w:t>.  </w:t>
      </w:r>
      <w:r w:rsidRPr="0024145B">
        <w:rPr>
          <w:rStyle w:val="sb8d990e2"/>
        </w:rPr>
        <w:t>Podejście to było przyjmowane również w sprawach, w których</w:t>
      </w:r>
      <w:r>
        <w:rPr>
          <w:rStyle w:val="sb8d990e2"/>
        </w:rPr>
        <w:t xml:space="preserve"> ubiegano się o wznowienie</w:t>
      </w:r>
      <w:r w:rsidDel="00E97D7F">
        <w:rPr>
          <w:rStyle w:val="sb8d990e2"/>
        </w:rPr>
        <w:t xml:space="preserve"> </w:t>
      </w:r>
      <w:r>
        <w:rPr>
          <w:rStyle w:val="sb8d990e2"/>
        </w:rPr>
        <w:t xml:space="preserve">zakończonego krajowego postępowania sądowego na podstawie stwierdzenia przez Trybunał naruszenia Konwencji (patrz na przykład </w:t>
      </w:r>
      <w:r w:rsidRPr="005C146B">
        <w:rPr>
          <w:rStyle w:val="s6b621b36"/>
          <w:i/>
          <w:iCs/>
        </w:rPr>
        <w:t>Fischer</w:t>
      </w:r>
      <w:r>
        <w:rPr>
          <w:rStyle w:val="sb8d990e2"/>
        </w:rPr>
        <w:t xml:space="preserve">, </w:t>
      </w:r>
      <w:r w:rsidRPr="00115A21">
        <w:rPr>
          <w:rStyle w:val="sb8d990e2"/>
          <w:i/>
          <w:iCs/>
        </w:rPr>
        <w:t>op. cit.</w:t>
      </w:r>
      <w:r>
        <w:rPr>
          <w:rStyle w:val="sb8d990e2"/>
        </w:rPr>
        <w:t xml:space="preserve">). Uznając zarzuty skarżącego na mocy art. 6 za niedopuszczalne w sprawie </w:t>
      </w:r>
      <w:r w:rsidRPr="005C146B">
        <w:rPr>
          <w:rStyle w:val="s6b621b36"/>
          <w:i/>
          <w:iCs/>
        </w:rPr>
        <w:t xml:space="preserve">Verein gegen Tierfabriken Schweiz (VgT) przeciwko Szwajcarii </w:t>
      </w:r>
      <w:r>
        <w:rPr>
          <w:rStyle w:val="s6b621b36"/>
        </w:rPr>
        <w:t>(nr 2)</w:t>
      </w:r>
      <w:r>
        <w:rPr>
          <w:rStyle w:val="sb8d990e2"/>
        </w:rPr>
        <w:t xml:space="preserve"> (nr </w:t>
      </w:r>
      <w:r w:rsidRPr="00CF5AF9">
        <w:t>32772/02</w:t>
      </w:r>
      <w:r>
        <w:rPr>
          <w:rStyle w:val="sb8d990e2"/>
        </w:rPr>
        <w:t>, § 24, 4 października 2007 r.), Izba orzekła:</w:t>
      </w:r>
    </w:p>
    <w:p w:rsidR="001C1275" w:rsidRPr="00D82631" w:rsidRDefault="001C1275" w:rsidP="00115A21">
      <w:pPr>
        <w:pStyle w:val="s9e9b0cd7"/>
        <w:spacing w:before="120" w:beforeAutospacing="0" w:after="120" w:afterAutospacing="0"/>
        <w:ind w:left="440" w:firstLine="110"/>
        <w:jc w:val="both"/>
        <w:rPr>
          <w:sz w:val="20"/>
          <w:szCs w:val="20"/>
        </w:rPr>
      </w:pPr>
      <w:r>
        <w:rPr>
          <w:rStyle w:val="sfbbfee58"/>
          <w:sz w:val="20"/>
          <w:szCs w:val="20"/>
        </w:rPr>
        <w:t>„</w:t>
      </w:r>
      <w:r w:rsidRPr="00D82631">
        <w:rPr>
          <w:rStyle w:val="sfbbfee58"/>
          <w:sz w:val="20"/>
          <w:szCs w:val="20"/>
        </w:rPr>
        <w:t xml:space="preserve">24. ... Na podstawie orzecznictwa można jasno stwierdzić, że artykuł ten nie ma zastosowania do postępowania dotyczącego wniosku o ponowny proces lub </w:t>
      </w:r>
      <w:r w:rsidRPr="00E97D7F">
        <w:rPr>
          <w:rStyle w:val="sb8d990e2"/>
          <w:sz w:val="20"/>
          <w:szCs w:val="20"/>
        </w:rPr>
        <w:t>wznowienie</w:t>
      </w:r>
      <w:r w:rsidRPr="00D82631" w:rsidDel="00E97D7F">
        <w:rPr>
          <w:rStyle w:val="sfbbfee58"/>
          <w:sz w:val="20"/>
          <w:szCs w:val="20"/>
        </w:rPr>
        <w:t xml:space="preserve"> </w:t>
      </w:r>
      <w:r w:rsidRPr="00D82631">
        <w:rPr>
          <w:rStyle w:val="sfbbfee58"/>
          <w:sz w:val="20"/>
          <w:szCs w:val="20"/>
        </w:rPr>
        <w:t xml:space="preserve">postępowania cywilnego (patrz </w:t>
      </w:r>
      <w:r w:rsidRPr="00F87E2B">
        <w:rPr>
          <w:rStyle w:val="s1a844bc0"/>
          <w:i/>
          <w:iCs/>
          <w:sz w:val="20"/>
          <w:szCs w:val="20"/>
        </w:rPr>
        <w:t>Sablon</w:t>
      </w:r>
      <w:r w:rsidRPr="00D82631">
        <w:rPr>
          <w:rStyle w:val="s1a844bc0"/>
          <w:sz w:val="20"/>
          <w:szCs w:val="20"/>
        </w:rPr>
        <w:t xml:space="preserve"> </w:t>
      </w:r>
      <w:r w:rsidRPr="00F87E2B">
        <w:rPr>
          <w:rStyle w:val="s1a844bc0"/>
          <w:i/>
          <w:iCs/>
          <w:sz w:val="20"/>
          <w:szCs w:val="20"/>
        </w:rPr>
        <w:t>przeciwko</w:t>
      </w:r>
      <w:r w:rsidRPr="00D82631">
        <w:rPr>
          <w:rStyle w:val="s1a844bc0"/>
          <w:sz w:val="20"/>
          <w:szCs w:val="20"/>
        </w:rPr>
        <w:t xml:space="preserve"> </w:t>
      </w:r>
      <w:r w:rsidRPr="00F87E2B">
        <w:rPr>
          <w:rStyle w:val="s1a844bc0"/>
          <w:i/>
          <w:iCs/>
          <w:sz w:val="20"/>
          <w:szCs w:val="20"/>
        </w:rPr>
        <w:t>Belgii</w:t>
      </w:r>
      <w:r w:rsidRPr="00D82631">
        <w:rPr>
          <w:rStyle w:val="sfbbfee58"/>
          <w:sz w:val="20"/>
          <w:szCs w:val="20"/>
        </w:rPr>
        <w:t xml:space="preserve">, nr </w:t>
      </w:r>
      <w:r w:rsidRPr="00CF5AF9">
        <w:rPr>
          <w:sz w:val="20"/>
          <w:szCs w:val="20"/>
        </w:rPr>
        <w:t>36445/97</w:t>
      </w:r>
      <w:r w:rsidRPr="00D82631">
        <w:rPr>
          <w:rStyle w:val="sfbbfee58"/>
          <w:sz w:val="20"/>
          <w:szCs w:val="20"/>
        </w:rPr>
        <w:t xml:space="preserve">, § 86, 10 kwietnia 2001 r.). Trybunał nie widzi powodu, dla którego rozumowanie to nie mogłoby znaleźć zastosowania </w:t>
      </w:r>
      <w:r>
        <w:rPr>
          <w:rStyle w:val="sfbbfee58"/>
          <w:sz w:val="20"/>
          <w:szCs w:val="20"/>
        </w:rPr>
        <w:t xml:space="preserve">również </w:t>
      </w:r>
      <w:r w:rsidRPr="00D82631">
        <w:rPr>
          <w:rStyle w:val="sfbbfee58"/>
          <w:sz w:val="20"/>
          <w:szCs w:val="20"/>
        </w:rPr>
        <w:t xml:space="preserve">do wniosku o </w:t>
      </w:r>
      <w:r w:rsidRPr="00E97D7F">
        <w:rPr>
          <w:rStyle w:val="sb8d990e2"/>
          <w:sz w:val="20"/>
          <w:szCs w:val="20"/>
        </w:rPr>
        <w:t>wznowienie</w:t>
      </w:r>
      <w:r w:rsidRPr="00D82631" w:rsidDel="00E97D7F">
        <w:rPr>
          <w:rStyle w:val="sfbbfee58"/>
          <w:sz w:val="20"/>
          <w:szCs w:val="20"/>
        </w:rPr>
        <w:t xml:space="preserve"> </w:t>
      </w:r>
      <w:r w:rsidRPr="00D82631">
        <w:rPr>
          <w:rStyle w:val="sfbbfee58"/>
          <w:sz w:val="20"/>
          <w:szCs w:val="20"/>
        </w:rPr>
        <w:t xml:space="preserve">postępowania po stwierdzeniu przez Trybunał naruszenia Konwencji (patrz, w związku ze sprawą karną, </w:t>
      </w:r>
      <w:r w:rsidRPr="00F87E2B">
        <w:rPr>
          <w:rStyle w:val="sfbbfee58"/>
          <w:i/>
          <w:iCs/>
          <w:sz w:val="20"/>
          <w:szCs w:val="20"/>
        </w:rPr>
        <w:t>[</w:t>
      </w:r>
      <w:r w:rsidRPr="00F87E2B">
        <w:rPr>
          <w:rStyle w:val="s1a844bc0"/>
          <w:i/>
          <w:iCs/>
          <w:sz w:val="20"/>
          <w:szCs w:val="20"/>
        </w:rPr>
        <w:t>Fischer</w:t>
      </w:r>
      <w:r w:rsidRPr="00F87E2B">
        <w:rPr>
          <w:rStyle w:val="sfbbfee58"/>
          <w:i/>
          <w:iCs/>
          <w:sz w:val="20"/>
          <w:szCs w:val="20"/>
        </w:rPr>
        <w:t>]</w:t>
      </w:r>
      <w:r w:rsidRPr="00F87E2B">
        <w:rPr>
          <w:rStyle w:val="s1a844bc0"/>
          <w:i/>
          <w:iCs/>
          <w:sz w:val="20"/>
          <w:szCs w:val="20"/>
        </w:rPr>
        <w:t xml:space="preserve"> przeciwko Austrii</w:t>
      </w:r>
      <w:r w:rsidRPr="00D82631">
        <w:rPr>
          <w:rStyle w:val="sfbbfee58"/>
          <w:sz w:val="20"/>
          <w:szCs w:val="20"/>
        </w:rPr>
        <w:t xml:space="preserve"> (dec.), nr </w:t>
      </w:r>
      <w:r w:rsidRPr="00CF5AF9">
        <w:rPr>
          <w:sz w:val="20"/>
          <w:szCs w:val="20"/>
        </w:rPr>
        <w:t>27569/02</w:t>
      </w:r>
      <w:r w:rsidRPr="00D82631">
        <w:rPr>
          <w:rStyle w:val="sfbbfee58"/>
          <w:sz w:val="20"/>
          <w:szCs w:val="20"/>
        </w:rPr>
        <w:t>, ETPC 2003</w:t>
      </w:r>
      <w:r w:rsidRPr="00D82631">
        <w:rPr>
          <w:rStyle w:val="sfbbfee58"/>
          <w:sz w:val="20"/>
          <w:szCs w:val="20"/>
        </w:rPr>
        <w:noBreakHyphen/>
        <w:t xml:space="preserve">VI). Trybunał uznaje zatem, że skarga wniesiona na podstawie art. 6 jest </w:t>
      </w:r>
      <w:r w:rsidRPr="00D82631">
        <w:rPr>
          <w:rStyle w:val="s1a844bc0"/>
          <w:i/>
          <w:iCs/>
          <w:sz w:val="20"/>
          <w:szCs w:val="20"/>
        </w:rPr>
        <w:t>ratione materiae</w:t>
      </w:r>
      <w:r w:rsidRPr="00D82631">
        <w:rPr>
          <w:rStyle w:val="sfbbfee58"/>
          <w:sz w:val="20"/>
          <w:szCs w:val="20"/>
        </w:rPr>
        <w:t xml:space="preserve"> niezgodnym z postanowieniami Konwencji."</w:t>
      </w:r>
    </w:p>
    <w:p w:rsidR="001C1275" w:rsidRPr="00BE6164" w:rsidRDefault="001C1275" w:rsidP="00DE3700">
      <w:pPr>
        <w:pStyle w:val="ECHRPara"/>
      </w:pPr>
      <w:fldSimple w:instr=" SEQ level0 \*arabic ">
        <w:r w:rsidRPr="00BE6164">
          <w:rPr>
            <w:noProof/>
          </w:rPr>
          <w:t>46</w:t>
        </w:r>
      </w:fldSimple>
      <w:r w:rsidRPr="00BE6164">
        <w:t>.  </w:t>
      </w:r>
      <w:r>
        <w:rPr>
          <w:rStyle w:val="sb8d990e2"/>
        </w:rPr>
        <w:t xml:space="preserve">Niemniej jednak, jeżeli nadzwyczajny środek odwoławczy pociąga za sobą lub faktycznie prowadzi do ponownego rozpatrzenia sprawy, art. 6 ma zastosowanie do postępowania w zakresie „ponownego rozpatrzenia" w zwykły sposób (patrz na przykład </w:t>
      </w:r>
      <w:r w:rsidRPr="00665B57">
        <w:rPr>
          <w:rStyle w:val="s6b621b36"/>
          <w:i/>
          <w:iCs/>
        </w:rPr>
        <w:t>Sablon</w:t>
      </w:r>
      <w:r>
        <w:rPr>
          <w:rStyle w:val="sb8d990e2"/>
        </w:rPr>
        <w:t xml:space="preserve">, </w:t>
      </w:r>
      <w:r w:rsidRPr="00115A21">
        <w:rPr>
          <w:rStyle w:val="sb8d990e2"/>
          <w:i/>
          <w:iCs/>
        </w:rPr>
        <w:t>op. cit.</w:t>
      </w:r>
      <w:r>
        <w:rPr>
          <w:rStyle w:val="sb8d990e2"/>
        </w:rPr>
        <w:t xml:space="preserve"> §§ 88-89; </w:t>
      </w:r>
      <w:r w:rsidRPr="00F87E2B">
        <w:rPr>
          <w:rStyle w:val="s6b621b36"/>
          <w:i/>
          <w:iCs/>
        </w:rPr>
        <w:t>Vanyan</w:t>
      </w:r>
      <w:r>
        <w:rPr>
          <w:rStyle w:val="s6b621b36"/>
        </w:rPr>
        <w:t xml:space="preserve"> </w:t>
      </w:r>
      <w:r w:rsidRPr="00F87E2B">
        <w:rPr>
          <w:rStyle w:val="s6b621b36"/>
          <w:i/>
          <w:iCs/>
        </w:rPr>
        <w:t>przeciwko</w:t>
      </w:r>
      <w:r>
        <w:rPr>
          <w:rStyle w:val="s6b621b36"/>
        </w:rPr>
        <w:t xml:space="preserve"> </w:t>
      </w:r>
      <w:r w:rsidRPr="00F87E2B">
        <w:rPr>
          <w:rStyle w:val="s6b621b36"/>
          <w:i/>
          <w:iCs/>
        </w:rPr>
        <w:t>Rosji</w:t>
      </w:r>
      <w:r>
        <w:rPr>
          <w:rStyle w:val="sb8d990e2"/>
        </w:rPr>
        <w:t xml:space="preserve">, nr </w:t>
      </w:r>
      <w:r w:rsidRPr="00CF5AF9">
        <w:t>53203/99</w:t>
      </w:r>
      <w:r>
        <w:rPr>
          <w:rStyle w:val="sb8d990e2"/>
        </w:rPr>
        <w:t>, § 56, 15 grudnia 2005 r.;</w:t>
      </w:r>
      <w:r>
        <w:rPr>
          <w:rStyle w:val="s6b621b36"/>
        </w:rPr>
        <w:t xml:space="preserve"> </w:t>
      </w:r>
      <w:r w:rsidRPr="00F87E2B">
        <w:rPr>
          <w:rStyle w:val="s6b621b36"/>
          <w:i/>
          <w:iCs/>
        </w:rPr>
        <w:t>Zasurtsev</w:t>
      </w:r>
      <w:r>
        <w:rPr>
          <w:rStyle w:val="s6b621b36"/>
        </w:rPr>
        <w:t xml:space="preserve"> </w:t>
      </w:r>
      <w:r w:rsidRPr="00F87E2B">
        <w:rPr>
          <w:rStyle w:val="s6b621b36"/>
          <w:i/>
          <w:iCs/>
        </w:rPr>
        <w:t>przeciwko</w:t>
      </w:r>
      <w:r>
        <w:rPr>
          <w:rStyle w:val="s6b621b36"/>
        </w:rPr>
        <w:t xml:space="preserve"> </w:t>
      </w:r>
      <w:r w:rsidRPr="00F87E2B">
        <w:rPr>
          <w:rStyle w:val="s6b621b36"/>
          <w:i/>
          <w:iCs/>
        </w:rPr>
        <w:t>Rosji</w:t>
      </w:r>
      <w:r>
        <w:rPr>
          <w:rStyle w:val="sb8d990e2"/>
        </w:rPr>
        <w:t xml:space="preserve">, nr </w:t>
      </w:r>
      <w:r w:rsidRPr="00CF5AF9">
        <w:t>67051/01</w:t>
      </w:r>
      <w:r>
        <w:rPr>
          <w:rStyle w:val="sb8d990e2"/>
        </w:rPr>
        <w:t xml:space="preserve">, § 62, 27 kwietnia 2006 r.; </w:t>
      </w:r>
      <w:r w:rsidRPr="00F87E2B">
        <w:rPr>
          <w:rStyle w:val="s6b621b36"/>
          <w:i/>
          <w:iCs/>
        </w:rPr>
        <w:t>Alekseyenko</w:t>
      </w:r>
      <w:r>
        <w:rPr>
          <w:rStyle w:val="s6b621b36"/>
        </w:rPr>
        <w:t xml:space="preserve"> </w:t>
      </w:r>
      <w:r w:rsidRPr="00F87E2B">
        <w:rPr>
          <w:rStyle w:val="s6b621b36"/>
          <w:i/>
          <w:iCs/>
        </w:rPr>
        <w:t>przeciwko</w:t>
      </w:r>
      <w:r>
        <w:rPr>
          <w:rStyle w:val="s6b621b36"/>
        </w:rPr>
        <w:t xml:space="preserve"> </w:t>
      </w:r>
      <w:r w:rsidRPr="00F87E2B">
        <w:rPr>
          <w:rStyle w:val="s6b621b36"/>
          <w:i/>
          <w:iCs/>
        </w:rPr>
        <w:t>Rosji</w:t>
      </w:r>
      <w:r>
        <w:rPr>
          <w:rStyle w:val="sb8d990e2"/>
        </w:rPr>
        <w:t xml:space="preserve">, nr </w:t>
      </w:r>
      <w:r w:rsidRPr="00CF5AF9">
        <w:t>74266/01</w:t>
      </w:r>
      <w:r>
        <w:rPr>
          <w:rStyle w:val="sb8d990e2"/>
        </w:rPr>
        <w:t xml:space="preserve">, § 55, 8 stycznia 2009 r.; </w:t>
      </w:r>
      <w:r w:rsidRPr="00F87E2B">
        <w:rPr>
          <w:rStyle w:val="s6b621b36"/>
          <w:i/>
          <w:iCs/>
        </w:rPr>
        <w:t>Hakkar</w:t>
      </w:r>
      <w:r>
        <w:rPr>
          <w:rStyle w:val="sb8d990e2"/>
        </w:rPr>
        <w:t xml:space="preserve">, </w:t>
      </w:r>
      <w:r w:rsidRPr="00115A21">
        <w:rPr>
          <w:rStyle w:val="sb8d990e2"/>
          <w:i/>
          <w:iCs/>
        </w:rPr>
        <w:t>op. cit.</w:t>
      </w:r>
      <w:r>
        <w:rPr>
          <w:rStyle w:val="sb8d990e2"/>
        </w:rPr>
        <w:t xml:space="preserve">; oraz </w:t>
      </w:r>
      <w:r w:rsidRPr="00F87E2B">
        <w:rPr>
          <w:rStyle w:val="s6b621b36"/>
          <w:i/>
          <w:iCs/>
        </w:rPr>
        <w:t>Rizi</w:t>
      </w:r>
      <w:r>
        <w:rPr>
          <w:rStyle w:val="s6b621b36"/>
        </w:rPr>
        <w:t xml:space="preserve"> </w:t>
      </w:r>
      <w:r w:rsidRPr="00F87E2B">
        <w:rPr>
          <w:rStyle w:val="s6b621b36"/>
          <w:i/>
          <w:iCs/>
        </w:rPr>
        <w:t>przeciwko</w:t>
      </w:r>
      <w:r>
        <w:rPr>
          <w:rStyle w:val="s6b621b36"/>
        </w:rPr>
        <w:t xml:space="preserve"> </w:t>
      </w:r>
      <w:r w:rsidRPr="00F87E2B">
        <w:rPr>
          <w:rStyle w:val="s6b621b36"/>
          <w:i/>
          <w:iCs/>
        </w:rPr>
        <w:t>Albanii</w:t>
      </w:r>
      <w:r>
        <w:rPr>
          <w:rStyle w:val="s6b621b36"/>
        </w:rPr>
        <w:t xml:space="preserve"> </w:t>
      </w:r>
      <w:r>
        <w:rPr>
          <w:rStyle w:val="sb8d990e2"/>
        </w:rPr>
        <w:t xml:space="preserve">(dec.), nr </w:t>
      </w:r>
      <w:r w:rsidRPr="00CF5AF9">
        <w:t>49201/06</w:t>
      </w:r>
      <w:r>
        <w:rPr>
          <w:rStyle w:val="sb8d990e2"/>
        </w:rPr>
        <w:t>, § 47, 8 listopada 2011 r.).</w:t>
      </w:r>
    </w:p>
    <w:p w:rsidR="001C1275" w:rsidRPr="00115A21" w:rsidRDefault="001C1275" w:rsidP="0029057E">
      <w:pPr>
        <w:pStyle w:val="ECHRPara"/>
        <w:rPr>
          <w:rStyle w:val="sb8d990e2"/>
        </w:rPr>
      </w:pPr>
      <w:r w:rsidRPr="005E2BCA">
        <w:rPr>
          <w:lang w:eastAsia="fr-FR"/>
        </w:rPr>
        <w:fldChar w:fldCharType="begin"/>
      </w:r>
      <w:r w:rsidRPr="005E2BCA">
        <w:rPr>
          <w:lang w:eastAsia="fr-FR"/>
        </w:rPr>
        <w:instrText xml:space="preserve"> SEQ level0 \*arabic </w:instrText>
      </w:r>
      <w:r w:rsidRPr="005E2BCA">
        <w:rPr>
          <w:lang w:eastAsia="fr-FR"/>
        </w:rPr>
        <w:fldChar w:fldCharType="separate"/>
      </w:r>
      <w:r w:rsidRPr="005E2BCA">
        <w:rPr>
          <w:noProof/>
          <w:lang w:eastAsia="fr-FR"/>
        </w:rPr>
        <w:t>47</w:t>
      </w:r>
      <w:r w:rsidRPr="005E2BCA">
        <w:rPr>
          <w:lang w:eastAsia="fr-FR"/>
        </w:rPr>
        <w:fldChar w:fldCharType="end"/>
      </w:r>
      <w:r w:rsidRPr="005E2BCA">
        <w:rPr>
          <w:lang w:eastAsia="fr-FR"/>
        </w:rPr>
        <w:t>.  </w:t>
      </w:r>
      <w:r>
        <w:rPr>
          <w:rStyle w:val="sb8d990e2"/>
        </w:rPr>
        <w:t>Co więcej, stwierdzono, że art. 6 stosuje się również w pewnych przypadkach, w których postępowanie, choć określone w prawie krajowym jako „nadzwyczajne" lub „wyjątkowe", było uznane za podobne co do natury i zakresu do zwykłego postępowania odwoławczego, krajowa charakterystyka postępowania nie jest bowiem uznawana za decydującą w kontekście zagadnienia jego stosowalności.</w:t>
      </w:r>
    </w:p>
    <w:p w:rsidR="001C1275" w:rsidRPr="00BE6164" w:rsidRDefault="001C1275" w:rsidP="008847BC">
      <w:pPr>
        <w:pStyle w:val="ECHRPara"/>
      </w:pPr>
      <w:fldSimple w:instr=" SEQ level0 \*arabic ">
        <w:r w:rsidRPr="005E2BCA">
          <w:rPr>
            <w:noProof/>
          </w:rPr>
          <w:t>48</w:t>
        </w:r>
      </w:fldSimple>
      <w:r w:rsidRPr="005E2BCA">
        <w:t>.  </w:t>
      </w:r>
      <w:r>
        <w:t>Dlatego</w:t>
      </w:r>
      <w:r w:rsidRPr="00BE6164">
        <w:t xml:space="preserve"> </w:t>
      </w:r>
      <w:r>
        <w:rPr>
          <w:rStyle w:val="sb8d990e2"/>
        </w:rPr>
        <w:t xml:space="preserve">w sprawie </w:t>
      </w:r>
      <w:r w:rsidRPr="00086B80">
        <w:rPr>
          <w:rStyle w:val="s6b621b36"/>
          <w:i/>
          <w:iCs/>
        </w:rPr>
        <w:t>San Leonard Band Club przeciwko Malcie</w:t>
      </w:r>
      <w:r>
        <w:rPr>
          <w:rStyle w:val="sb8d990e2"/>
        </w:rPr>
        <w:t xml:space="preserve"> (nr </w:t>
      </w:r>
      <w:r w:rsidRPr="00CF5AF9">
        <w:t>77562/01</w:t>
      </w:r>
      <w:r>
        <w:rPr>
          <w:rStyle w:val="sb8d990e2"/>
        </w:rPr>
        <w:t>, §§ 41-48, ETPC 2004 IX), stwierdzono stosowalność art. 6 do postępowania dotyczącego wniosku o nowy proces. Trybunał uzasadnił swoje stanowisko w ten sposób, że wniosek był podobny do odwołania przed sądem kasacyjnym, władze maltańskie nie działały w ramach swojego uznania, lecz miały obowiązek wydania orzeczenia w sprawie wniosku, a wynik nowej procedury sądowej był rozstrzygający w stosunku do „praw i obowiązków o charakterze cywilnym" skarżącej spółki.</w:t>
      </w:r>
    </w:p>
    <w:p w:rsidR="001C1275" w:rsidRPr="003A40FA" w:rsidRDefault="001C1275" w:rsidP="008847BC">
      <w:pPr>
        <w:pStyle w:val="ECHRPara"/>
        <w:rPr>
          <w:snapToGrid w:val="0"/>
          <w:lang w:eastAsia="fr-FR"/>
        </w:rPr>
      </w:pPr>
      <w:r w:rsidRPr="005E2BCA">
        <w:rPr>
          <w:lang w:eastAsia="fr-FR"/>
        </w:rPr>
        <w:fldChar w:fldCharType="begin"/>
      </w:r>
      <w:r w:rsidRPr="005E2BCA">
        <w:rPr>
          <w:lang w:eastAsia="fr-FR"/>
        </w:rPr>
        <w:instrText xml:space="preserve"> SEQ level0 \*arabic </w:instrText>
      </w:r>
      <w:r w:rsidRPr="005E2BCA">
        <w:rPr>
          <w:lang w:eastAsia="fr-FR"/>
        </w:rPr>
        <w:fldChar w:fldCharType="separate"/>
      </w:r>
      <w:r w:rsidRPr="005E2BCA">
        <w:rPr>
          <w:noProof/>
          <w:lang w:eastAsia="fr-FR"/>
        </w:rPr>
        <w:t>49</w:t>
      </w:r>
      <w:r w:rsidRPr="005E2BCA">
        <w:rPr>
          <w:lang w:eastAsia="fr-FR"/>
        </w:rPr>
        <w:fldChar w:fldCharType="end"/>
      </w:r>
      <w:r w:rsidRPr="005E2BCA">
        <w:rPr>
          <w:lang w:eastAsia="fr-FR"/>
        </w:rPr>
        <w:t>.  </w:t>
      </w:r>
      <w:r>
        <w:rPr>
          <w:rStyle w:val="sb8d990e2"/>
        </w:rPr>
        <w:t xml:space="preserve">Podobnie, w sprawie </w:t>
      </w:r>
      <w:r w:rsidRPr="00086B80">
        <w:rPr>
          <w:rStyle w:val="s6b621b36"/>
          <w:i/>
          <w:iCs/>
        </w:rPr>
        <w:t>Maresti</w:t>
      </w:r>
      <w:r>
        <w:rPr>
          <w:rStyle w:val="s6b621b36"/>
        </w:rPr>
        <w:t xml:space="preserve"> </w:t>
      </w:r>
      <w:r w:rsidRPr="00086B80">
        <w:rPr>
          <w:rStyle w:val="s6b621b36"/>
          <w:i/>
          <w:iCs/>
        </w:rPr>
        <w:t>przeciwko</w:t>
      </w:r>
      <w:r>
        <w:rPr>
          <w:rStyle w:val="s6b621b36"/>
        </w:rPr>
        <w:t xml:space="preserve"> </w:t>
      </w:r>
      <w:r w:rsidRPr="00086B80">
        <w:rPr>
          <w:rStyle w:val="s6b621b36"/>
          <w:i/>
          <w:iCs/>
        </w:rPr>
        <w:t>Chorwacji</w:t>
      </w:r>
      <w:r>
        <w:rPr>
          <w:rStyle w:val="s6b621b36"/>
        </w:rPr>
        <w:t xml:space="preserve"> </w:t>
      </w:r>
      <w:r>
        <w:rPr>
          <w:rStyle w:val="sb8d990e2"/>
        </w:rPr>
        <w:t xml:space="preserve"> (nr </w:t>
      </w:r>
      <w:r w:rsidRPr="00CF5AF9">
        <w:t>55759/07</w:t>
      </w:r>
      <w:r>
        <w:rPr>
          <w:rStyle w:val="sb8d990e2"/>
        </w:rPr>
        <w:t xml:space="preserve">, 25 czerwca </w:t>
      </w:r>
      <w:r w:rsidRPr="004A577B">
        <w:rPr>
          <w:rStyle w:val="sb8d990e2"/>
        </w:rPr>
        <w:t>2009 r.) Trybunał uznał, że postępowanie przeprowadzone w sprawie wniosku o rewizję nadzwyczajną ostatecznego wyroku w sprawie karnej mieściło się w zakresie art. 6. Oceniając naturę i specyficzne cechy tego postępowania Trybunał zauważył, że wniosek o rewizję nadzwyczajną był [dostępny pozwanemu] z tytułu enumeratywnie wyliczonych błędów prawnych działających na niekorzyść pozwanego, wniosek musiał być złożony w nieprzekraczalnym terminie jednego miesiąca po doręczeniu wyroku sądu apelacyjnego [pozwanemu], a przyczyny uzasadniające rewizję nadzwyczajną były wyraźnie wymienione w chorwackim Kodeksie postępowania karnego i nie podlegały żadnym uznaniowym decyzjom ze strony Sądu Najwyższego Chorwacji. Ponadto Trybunał zauważył, że wniosek o rewizję nadzwyczajną ma swój odpowiednik w chorwackim postępowaniu cywilnym w postaci skargi kasacyjnej w sprawach cywilnych, do</w:t>
      </w:r>
      <w:r>
        <w:rPr>
          <w:rStyle w:val="sb8d990e2"/>
        </w:rPr>
        <w:t xml:space="preserve"> której art. 6 miał zastosowanie (zob. paragrafy 25-28 wspomnianego wyroku).</w:t>
      </w:r>
    </w:p>
    <w:p w:rsidR="001C1275" w:rsidRPr="00334649" w:rsidRDefault="001C1275" w:rsidP="008847BC">
      <w:pPr>
        <w:pStyle w:val="ECHRPara"/>
        <w:rPr>
          <w:snapToGrid w:val="0"/>
          <w:lang w:eastAsia="fr-FR"/>
        </w:rPr>
      </w:pPr>
      <w:r w:rsidRPr="005E2BCA">
        <w:rPr>
          <w:snapToGrid w:val="0"/>
          <w:lang w:eastAsia="fr-FR"/>
        </w:rPr>
        <w:fldChar w:fldCharType="begin"/>
      </w:r>
      <w:r w:rsidRPr="005E2BCA">
        <w:rPr>
          <w:snapToGrid w:val="0"/>
          <w:lang w:eastAsia="fr-FR"/>
        </w:rPr>
        <w:instrText xml:space="preserve"> SEQ level0 \*arabic </w:instrText>
      </w:r>
      <w:r w:rsidRPr="005E2BCA">
        <w:rPr>
          <w:snapToGrid w:val="0"/>
          <w:lang w:eastAsia="fr-FR"/>
        </w:rPr>
        <w:fldChar w:fldCharType="separate"/>
      </w:r>
      <w:r w:rsidRPr="005E2BCA">
        <w:rPr>
          <w:noProof/>
          <w:snapToGrid w:val="0"/>
          <w:lang w:eastAsia="fr-FR"/>
        </w:rPr>
        <w:t>50</w:t>
      </w:r>
      <w:r w:rsidRPr="005E2BCA">
        <w:rPr>
          <w:snapToGrid w:val="0"/>
          <w:lang w:eastAsia="fr-FR"/>
        </w:rPr>
        <w:fldChar w:fldCharType="end"/>
      </w:r>
      <w:r w:rsidRPr="005E2BCA">
        <w:rPr>
          <w:snapToGrid w:val="0"/>
          <w:lang w:eastAsia="fr-FR"/>
        </w:rPr>
        <w:t>.  </w:t>
      </w:r>
      <w:r>
        <w:rPr>
          <w:rStyle w:val="sb8d990e2"/>
        </w:rPr>
        <w:t xml:space="preserve">Podsumowując, podczas gdy art. 6 </w:t>
      </w:r>
      <w:r w:rsidRPr="00374757">
        <w:rPr>
          <w:rStyle w:val="sb8d990e2"/>
        </w:rPr>
        <w:t xml:space="preserve">ust. </w:t>
      </w:r>
      <w:r>
        <w:rPr>
          <w:rStyle w:val="sb8d990e2"/>
        </w:rPr>
        <w:t>1 co do zasady nie znajduje zastosowania w odniesieniu do nadzwyczajnych środków odwoławczych mających na celu wznowienie</w:t>
      </w:r>
      <w:r w:rsidDel="00245EF9">
        <w:rPr>
          <w:rStyle w:val="sb8d990e2"/>
        </w:rPr>
        <w:t xml:space="preserve"> </w:t>
      </w:r>
      <w:r>
        <w:rPr>
          <w:rStyle w:val="sb8d990e2"/>
        </w:rPr>
        <w:t xml:space="preserve">zakończonego postępowania sądowego, natura, zakres i szczególne cechy postępowania sądowego dotyczącego danego nadzwyczajnego środka odwoławczego w danym systemie prawnym mogą być tego rodzaju, że postępowanie w sprawie takiego odwołania może znaleźć się w zakresie zastosowania art. 6 </w:t>
      </w:r>
      <w:r w:rsidRPr="00374757">
        <w:rPr>
          <w:rStyle w:val="sb8d990e2"/>
        </w:rPr>
        <w:t xml:space="preserve">ust. </w:t>
      </w:r>
      <w:r>
        <w:rPr>
          <w:rStyle w:val="sb8d990e2"/>
        </w:rPr>
        <w:t>1 oraz gwarancji rzetelnego procesu przewidzianych w odniesieniu do uczestników sporu. Trybunał musi odpowiednio rozważyć naturę, zakres i szczególne cechy odwołania</w:t>
      </w:r>
      <w:r w:rsidRPr="008E46CF">
        <w:rPr>
          <w:rStyle w:val="sb8d990e2"/>
        </w:rPr>
        <w:t xml:space="preserve"> </w:t>
      </w:r>
      <w:r>
        <w:rPr>
          <w:rStyle w:val="sb8d990e2"/>
        </w:rPr>
        <w:t>o charakterze wyjątkowym, którego dotyczy obecna sprawa.</w:t>
      </w:r>
    </w:p>
    <w:p w:rsidR="001C1275" w:rsidRPr="00334649" w:rsidRDefault="001C1275" w:rsidP="00735315">
      <w:pPr>
        <w:pStyle w:val="ECHRHeading4"/>
        <w:rPr>
          <w:lang w:val="pl-PL"/>
        </w:rPr>
      </w:pPr>
      <w:r w:rsidRPr="00334649">
        <w:rPr>
          <w:lang w:val="pl-PL"/>
        </w:rPr>
        <w:t>(c)  </w:t>
      </w:r>
      <w:r w:rsidRPr="005E2BCA">
        <w:rPr>
          <w:rStyle w:val="sdfc50a6a"/>
          <w:lang w:val="pl-PL"/>
        </w:rPr>
        <w:t>Zastosowanie powyższych zasad w odniesieniu do obecnej sprawy</w:t>
      </w:r>
    </w:p>
    <w:p w:rsidR="001C1275" w:rsidRPr="00115A21" w:rsidRDefault="001C1275" w:rsidP="00115A21">
      <w:pPr>
        <w:pStyle w:val="ECHRPara"/>
        <w:rPr>
          <w:rStyle w:val="sb8d990e2"/>
        </w:rPr>
      </w:pPr>
      <w:r w:rsidRPr="00115A21">
        <w:rPr>
          <w:rFonts w:ascii="Calibri" w:hAnsi="Calibri" w:cs="Calibri"/>
        </w:rPr>
        <w:fldChar w:fldCharType="begin"/>
      </w:r>
      <w:r w:rsidRPr="00115A21">
        <w:rPr>
          <w:rFonts w:ascii="Calibri" w:hAnsi="Calibri" w:cs="Calibri"/>
        </w:rPr>
        <w:instrText xml:space="preserve"> SEQ level0 \*arabic </w:instrText>
      </w:r>
      <w:r w:rsidRPr="00115A21">
        <w:rPr>
          <w:rFonts w:ascii="Calibri" w:hAnsi="Calibri" w:cs="Calibri"/>
        </w:rPr>
        <w:fldChar w:fldCharType="separate"/>
      </w:r>
      <w:r w:rsidRPr="00115A21">
        <w:rPr>
          <w:rFonts w:ascii="Calibri" w:hAnsi="Calibri" w:cs="Calibri"/>
        </w:rPr>
        <w:t>51</w:t>
      </w:r>
      <w:r w:rsidRPr="00115A21">
        <w:rPr>
          <w:rFonts w:ascii="Calibri" w:hAnsi="Calibri" w:cs="Calibri"/>
        </w:rPr>
        <w:fldChar w:fldCharType="end"/>
      </w:r>
      <w:r w:rsidRPr="005E2BCA">
        <w:rPr>
          <w:snapToGrid w:val="0"/>
          <w:lang w:eastAsia="fr-FR"/>
        </w:rPr>
        <w:t>.  </w:t>
      </w:r>
      <w:r>
        <w:rPr>
          <w:snapToGrid w:val="0"/>
          <w:lang w:eastAsia="fr-FR"/>
        </w:rPr>
        <w:t>Odnosząc się</w:t>
      </w:r>
      <w:r>
        <w:rPr>
          <w:rStyle w:val="sb8d990e2"/>
        </w:rPr>
        <w:t xml:space="preserve"> zatem do konkretnych okoliczności niniejszej sprawy, Trybunał zauważa, że w odpowiednim czasie Kodeks postępowania cywilnego gwarantował stronom postępowania zakończonego decyzją kasacyjną „prawo</w:t>
      </w:r>
      <w:r>
        <w:rPr>
          <w:rStyle w:val="s6b621b36"/>
        </w:rPr>
        <w:t xml:space="preserve"> </w:t>
      </w:r>
      <w:r>
        <w:rPr>
          <w:rStyle w:val="sb8d990e2"/>
        </w:rPr>
        <w:t>do zaskarżenia do Sądu Najwyższego ... decyzji sądowych w sprawach cywilnych w świetle wyjątkowych okoliczności (art. 353, artykuł wprowadzający w części Kodeksu dotyczącej odwołań o charakterze wyjątkowym – tekst zaprezentowany w paragrafie 24 poniżej). Na mocy kolejnego przepisu Kodeksu (art. 354 § 1 – jego tekst można znaleźć również w paragrafie 24 powyżej), „stwierdzenie przez międzynarodowe organy sądowe o właściwości uznawanej na Ukrainie, że [krajowa] decyzja sądowa narusza międzynarodowe zobowiązania Ukrainy" stanowiło jedną z dwóch podstaw, na których można było wnieść takie odwołanie</w:t>
      </w:r>
      <w:r w:rsidRPr="008E46CF">
        <w:rPr>
          <w:rStyle w:val="sb8d990e2"/>
        </w:rPr>
        <w:t xml:space="preserve"> </w:t>
      </w:r>
      <w:r>
        <w:rPr>
          <w:rStyle w:val="sb8d990e2"/>
        </w:rPr>
        <w:t>o charakterze wyjątkowym. W art. 357 (</w:t>
      </w:r>
      <w:r w:rsidRPr="00C239EF">
        <w:rPr>
          <w:rStyle w:val="sb8d990e2"/>
          <w:i/>
          <w:iCs/>
        </w:rPr>
        <w:t>ibid</w:t>
      </w:r>
      <w:r>
        <w:rPr>
          <w:rStyle w:val="sb8d990e2"/>
        </w:rPr>
        <w:t xml:space="preserve">.) zdefiniowano ponadto „rozpatrywanie sprawy w świetle wyjątkowych okoliczności" jako „rodzaj procedury kasacyjnej", w ramach której Sąd Najwyższy ma te same </w:t>
      </w:r>
      <w:r w:rsidRPr="004A577B">
        <w:rPr>
          <w:rStyle w:val="sb8d990e2"/>
        </w:rPr>
        <w:t>uprawnienia kontrolne co w przypadku postępowania kasacyjnego, a odwołanie o charakterze wyjątkowym objęte jest taką samą procedurą jak skarga kasacyjna. Uprawnienia Sądu Najwyższego do decydowania w sprawie odwołania</w:t>
      </w:r>
      <w:r>
        <w:rPr>
          <w:rStyle w:val="sb8d990e2"/>
        </w:rPr>
        <w:t xml:space="preserve"> o charakterze wyjątkowym były zatem porównywalne do uprawnień posiadanych przez ten Sąd w odniesieniu do skarg kasacyjnych. Dlatego też postępowanie w sprawie odwołania o charakterze wyjątkowym mogło prowadzić do różnego rodzaju decyzji przewidzianych w art. 358 Kodeksu, a w szczególności do decyzji „o oddaleniu odwołania i pozostawieniu [zaskarżonej] decyzji w postaci niezmienionej", „o uchyleniu, w całości lub w części, [zaskarżonej] decyzji sądowej oraz przekazaniu sprawy do ponownego rozpoznania przez [właściwy sąd niższej instancji], „o uchyleniu [zaskarżonej] decyzji sądu apelacyjnego lub sądu kasacyjnego i podtrzymaniu błędnie uchylonej decyzji" lub „o zmianie [zaskarżonej] decyzji lub podjęciu nowej decyzji w aspekcie merytorycznym w sprawie" (</w:t>
      </w:r>
      <w:r w:rsidRPr="00C239EF">
        <w:rPr>
          <w:rStyle w:val="sb8d990e2"/>
          <w:i/>
          <w:iCs/>
        </w:rPr>
        <w:t>ibid</w:t>
      </w:r>
      <w:r>
        <w:rPr>
          <w:rStyle w:val="sb8d990e2"/>
        </w:rPr>
        <w:t>.).</w:t>
      </w:r>
    </w:p>
    <w:p w:rsidR="001C1275" w:rsidRPr="00334649" w:rsidRDefault="001C1275" w:rsidP="00F74808">
      <w:pPr>
        <w:pStyle w:val="ECHRPara"/>
        <w:rPr>
          <w:snapToGrid w:val="0"/>
          <w:lang w:eastAsia="fr-FR"/>
        </w:rPr>
      </w:pPr>
      <w:r w:rsidRPr="00334649">
        <w:rPr>
          <w:lang w:eastAsia="fr-FR"/>
        </w:rPr>
        <w:fldChar w:fldCharType="begin"/>
      </w:r>
      <w:r w:rsidRPr="00334649">
        <w:rPr>
          <w:lang w:eastAsia="fr-FR"/>
        </w:rPr>
        <w:instrText xml:space="preserve"> SEQ level0 \*arabic </w:instrText>
      </w:r>
      <w:r w:rsidRPr="00334649">
        <w:rPr>
          <w:lang w:eastAsia="fr-FR"/>
        </w:rPr>
        <w:fldChar w:fldCharType="separate"/>
      </w:r>
      <w:r w:rsidRPr="00334649">
        <w:rPr>
          <w:noProof/>
          <w:lang w:eastAsia="fr-FR"/>
        </w:rPr>
        <w:t>52</w:t>
      </w:r>
      <w:r w:rsidRPr="00334649">
        <w:rPr>
          <w:lang w:eastAsia="fr-FR"/>
        </w:rPr>
        <w:fldChar w:fldCharType="end"/>
      </w:r>
      <w:r w:rsidRPr="00334649">
        <w:rPr>
          <w:lang w:eastAsia="fr-FR"/>
        </w:rPr>
        <w:t>.  </w:t>
      </w:r>
      <w:r>
        <w:rPr>
          <w:rStyle w:val="sb8d990e2"/>
        </w:rPr>
        <w:t>Na potrzeby niniejszego badania przez Trybunał natury i zakresu środka zaradczego wykorzystanego przez skarżącą na podstawie Kodeksu postępowania cywilnego, pewne znaczenie ma również kontekst legislacyjny w postaci przepisów ustawy z 2006 r. w sprawie wykonywania wyroków i stosowania orzecznictwa Europejskiego Trybunału Praw Człowieka (zob. paragraf 25 powyżej, w którym przytoczono odpowiednie części ustawy). W szczególności art. 10(3)(a) ustawy z 2006 r. stanowi, że „poprzedni status prawny Beneficjenta" – a mianowicie skarżącego do Trybunału, którego skarga zostaje uznana – „musi zostać przywrócony, między</w:t>
      </w:r>
      <w:r>
        <w:rPr>
          <w:rStyle w:val="s6b621b36"/>
        </w:rPr>
        <w:t xml:space="preserve"> </w:t>
      </w:r>
      <w:r>
        <w:rPr>
          <w:rStyle w:val="sb8d990e2"/>
        </w:rPr>
        <w:t>innymi, poprzez ponowne rozpatrzenie sprawy przez sąd, w tym wznowienie</w:t>
      </w:r>
      <w:r w:rsidDel="00245EF9">
        <w:rPr>
          <w:rStyle w:val="sb8d990e2"/>
        </w:rPr>
        <w:t xml:space="preserve"> </w:t>
      </w:r>
      <w:r>
        <w:rPr>
          <w:rStyle w:val="sb8d990e2"/>
        </w:rPr>
        <w:t>postępowania w tej sprawie" (</w:t>
      </w:r>
      <w:r w:rsidRPr="00C239EF">
        <w:rPr>
          <w:rStyle w:val="sb8d990e2"/>
          <w:i/>
          <w:iCs/>
        </w:rPr>
        <w:t>ibid</w:t>
      </w:r>
      <w:r>
        <w:rPr>
          <w:rStyle w:val="sb8d990e2"/>
        </w:rPr>
        <w:t>.). Co więcej, zgodnie z art. 11 § 1 (a) tej ustawy, Biuro Pełnomocnika Rządu ma obowiązek przesłać Beneficjentowi „powiadomienie pouczające o jego prawie do wszczęcia postępowania mającego na celu ponowne rozpatrzenie jego sprawy i/lub wznowienie</w:t>
      </w:r>
      <w:r w:rsidDel="00245EF9">
        <w:rPr>
          <w:rStyle w:val="sb8d990e2"/>
        </w:rPr>
        <w:t xml:space="preserve"> </w:t>
      </w:r>
      <w:r>
        <w:rPr>
          <w:rStyle w:val="sb8d990e2"/>
        </w:rPr>
        <w:t>postępowania zgodnie</w:t>
      </w:r>
      <w:r>
        <w:rPr>
          <w:rStyle w:val="s6b621b36"/>
        </w:rPr>
        <w:t xml:space="preserve"> </w:t>
      </w:r>
      <w:r>
        <w:rPr>
          <w:rStyle w:val="sb8d990e2"/>
        </w:rPr>
        <w:t>z obowiązującym prawem."</w:t>
      </w:r>
    </w:p>
    <w:p w:rsidR="001C1275" w:rsidRPr="00334649" w:rsidRDefault="001C1275" w:rsidP="00FD0B91">
      <w:pPr>
        <w:pStyle w:val="ECHRPara"/>
      </w:pPr>
      <w:r w:rsidRPr="005E2BCA">
        <w:rPr>
          <w:snapToGrid w:val="0"/>
          <w:lang w:eastAsia="fr-FR"/>
        </w:rPr>
        <w:fldChar w:fldCharType="begin"/>
      </w:r>
      <w:r w:rsidRPr="005E2BCA">
        <w:rPr>
          <w:snapToGrid w:val="0"/>
          <w:lang w:eastAsia="fr-FR"/>
        </w:rPr>
        <w:instrText xml:space="preserve"> SEQ level0 \*arabic </w:instrText>
      </w:r>
      <w:r w:rsidRPr="005E2BCA">
        <w:rPr>
          <w:snapToGrid w:val="0"/>
          <w:lang w:eastAsia="fr-FR"/>
        </w:rPr>
        <w:fldChar w:fldCharType="separate"/>
      </w:r>
      <w:r w:rsidRPr="005E2BCA">
        <w:rPr>
          <w:noProof/>
          <w:snapToGrid w:val="0"/>
          <w:lang w:eastAsia="fr-FR"/>
        </w:rPr>
        <w:t>53</w:t>
      </w:r>
      <w:r w:rsidRPr="005E2BCA">
        <w:rPr>
          <w:snapToGrid w:val="0"/>
          <w:lang w:eastAsia="fr-FR"/>
        </w:rPr>
        <w:fldChar w:fldCharType="end"/>
      </w:r>
      <w:r w:rsidRPr="005E2BCA">
        <w:rPr>
          <w:snapToGrid w:val="0"/>
          <w:lang w:eastAsia="fr-FR"/>
        </w:rPr>
        <w:t>.  </w:t>
      </w:r>
      <w:r>
        <w:rPr>
          <w:rStyle w:val="sb8d990e2"/>
        </w:rPr>
        <w:t xml:space="preserve">Obowiązujące prawo krajowe udostępniło w ten sposób skarżącej środek odwoławczy umożliwiający </w:t>
      </w:r>
      <w:r w:rsidRPr="00452C50">
        <w:rPr>
          <w:rStyle w:val="sb8d990e2"/>
        </w:rPr>
        <w:t>ponowne sądowe rozpatrzenie</w:t>
      </w:r>
      <w:r>
        <w:rPr>
          <w:rStyle w:val="sb8d990e2"/>
        </w:rPr>
        <w:t xml:space="preserve"> jej sprawy cywilnej przez Sąd Najwyższy w świetle stwierdzenia przez Trybunał wadliwości pierwotnych decyzji krajowych. Ze względu na rodzaj przewidzianego ponownego rozpatrzenia, odwołanie o charakterze wyjątkowym wniesione przez skarżącą można postrzegać jako przedłużenie pierwotnego (zakończonego) postępowania cywilnego, na podobieństwo procedury kasacyjnej określonej w prawie</w:t>
      </w:r>
      <w:r w:rsidRPr="00F8280F">
        <w:rPr>
          <w:rStyle w:val="sb8d990e2"/>
        </w:rPr>
        <w:t xml:space="preserve"> </w:t>
      </w:r>
      <w:r>
        <w:rPr>
          <w:rStyle w:val="sb8d990e2"/>
        </w:rPr>
        <w:t xml:space="preserve">ukraińskim. Niezależnie od tego, chociaż szczególne cechy tej przypominającej kasacyjną procedury mogą mieć wpływ na sposób funkcjonowania gwarancji proceduralnych przewidzianych w art. 6 ust. 1 (patrz </w:t>
      </w:r>
      <w:r w:rsidRPr="00086B80">
        <w:rPr>
          <w:rStyle w:val="s6b621b36"/>
          <w:i/>
          <w:iCs/>
        </w:rPr>
        <w:t>Delcourt</w:t>
      </w:r>
      <w:r>
        <w:rPr>
          <w:rStyle w:val="s6b621b36"/>
        </w:rPr>
        <w:t xml:space="preserve"> </w:t>
      </w:r>
      <w:r w:rsidRPr="00086B80">
        <w:rPr>
          <w:rStyle w:val="s6b621b36"/>
          <w:i/>
          <w:iCs/>
        </w:rPr>
        <w:t>przeciwko</w:t>
      </w:r>
      <w:r>
        <w:rPr>
          <w:rStyle w:val="s6b621b36"/>
        </w:rPr>
        <w:t xml:space="preserve"> </w:t>
      </w:r>
      <w:r w:rsidRPr="00086B80">
        <w:rPr>
          <w:rStyle w:val="s6b621b36"/>
          <w:i/>
          <w:iCs/>
        </w:rPr>
        <w:t>Belgii</w:t>
      </w:r>
      <w:r>
        <w:rPr>
          <w:rStyle w:val="sb8d990e2"/>
        </w:rPr>
        <w:t xml:space="preserve">, 17 stycznia 1970 r., § 26, Seria A nr 11), Trybunał jest zdania, że gwarancje te powinny obowiązywać w odniesieniu do tego postępowania w taki sam sposób, w jaki obowiązują do postępowania kasacyjnego w sprawach cywilnych w ogóle (patrz na przykład </w:t>
      </w:r>
      <w:r w:rsidRPr="00086B80">
        <w:rPr>
          <w:rStyle w:val="s6b621b36"/>
          <w:i/>
          <w:iCs/>
        </w:rPr>
        <w:t>Mushta</w:t>
      </w:r>
      <w:r>
        <w:rPr>
          <w:rStyle w:val="s6b621b36"/>
        </w:rPr>
        <w:t xml:space="preserve"> </w:t>
      </w:r>
      <w:r w:rsidRPr="00086B80">
        <w:rPr>
          <w:rStyle w:val="s6b621b36"/>
          <w:i/>
          <w:iCs/>
        </w:rPr>
        <w:t>przeciwko</w:t>
      </w:r>
      <w:r>
        <w:rPr>
          <w:rStyle w:val="s6b621b36"/>
        </w:rPr>
        <w:t xml:space="preserve"> </w:t>
      </w:r>
      <w:r w:rsidRPr="00086B80">
        <w:rPr>
          <w:rStyle w:val="s6b621b36"/>
          <w:i/>
          <w:iCs/>
        </w:rPr>
        <w:t>Ukrainie</w:t>
      </w:r>
      <w:r>
        <w:rPr>
          <w:rStyle w:val="sb8d990e2"/>
        </w:rPr>
        <w:t xml:space="preserve">, nr </w:t>
      </w:r>
      <w:r w:rsidRPr="00CF5AF9">
        <w:t>8863/06</w:t>
      </w:r>
      <w:r>
        <w:rPr>
          <w:rStyle w:val="sb8d990e2"/>
        </w:rPr>
        <w:t xml:space="preserve">, § 39, 18 listopada 2010 r.; oraz, </w:t>
      </w:r>
      <w:r>
        <w:rPr>
          <w:rStyle w:val="s6b621b36"/>
          <w:i/>
          <w:iCs/>
        </w:rPr>
        <w:t xml:space="preserve">mutatis </w:t>
      </w:r>
      <w:r w:rsidRPr="00F8280F">
        <w:rPr>
          <w:rStyle w:val="s6b621b36"/>
          <w:i/>
          <w:iCs/>
        </w:rPr>
        <w:t>mutandis</w:t>
      </w:r>
      <w:r w:rsidRPr="00F8280F">
        <w:rPr>
          <w:rStyle w:val="sb8d990e2"/>
        </w:rPr>
        <w:t xml:space="preserve">, </w:t>
      </w:r>
      <w:r w:rsidRPr="00F8280F">
        <w:rPr>
          <w:rStyle w:val="s6b621b36"/>
          <w:i/>
          <w:iCs/>
        </w:rPr>
        <w:t>San</w:t>
      </w:r>
      <w:r w:rsidRPr="00F8280F">
        <w:rPr>
          <w:rStyle w:val="s6b621b36"/>
        </w:rPr>
        <w:t xml:space="preserve"> </w:t>
      </w:r>
      <w:r w:rsidRPr="00F8280F">
        <w:rPr>
          <w:rStyle w:val="s6b621b36"/>
          <w:i/>
          <w:iCs/>
        </w:rPr>
        <w:t>Leonard</w:t>
      </w:r>
      <w:r w:rsidRPr="00F8280F">
        <w:rPr>
          <w:rStyle w:val="s6b621b36"/>
        </w:rPr>
        <w:t xml:space="preserve"> </w:t>
      </w:r>
      <w:r w:rsidRPr="00F8280F">
        <w:rPr>
          <w:rStyle w:val="s6b621b36"/>
          <w:i/>
          <w:iCs/>
        </w:rPr>
        <w:t>Band</w:t>
      </w:r>
      <w:r w:rsidRPr="00F8280F">
        <w:rPr>
          <w:rStyle w:val="s6b621b36"/>
        </w:rPr>
        <w:t xml:space="preserve"> </w:t>
      </w:r>
      <w:r w:rsidRPr="00F8280F">
        <w:rPr>
          <w:rStyle w:val="s6b621b36"/>
          <w:i/>
          <w:iCs/>
        </w:rPr>
        <w:t>Club</w:t>
      </w:r>
      <w:r w:rsidRPr="00F8280F">
        <w:rPr>
          <w:rStyle w:val="sb8d990e2"/>
        </w:rPr>
        <w:t xml:space="preserve"> </w:t>
      </w:r>
      <w:r w:rsidRPr="00F8280F">
        <w:rPr>
          <w:rStyle w:val="sb8d990e2"/>
          <w:i/>
          <w:iCs/>
        </w:rPr>
        <w:t xml:space="preserve">i </w:t>
      </w:r>
      <w:r w:rsidRPr="00F8280F">
        <w:rPr>
          <w:rStyle w:val="s6b621b36"/>
          <w:i/>
          <w:iCs/>
        </w:rPr>
        <w:t>Maresti</w:t>
      </w:r>
      <w:r w:rsidRPr="00F8280F">
        <w:rPr>
          <w:rStyle w:val="sb8d990e2"/>
        </w:rPr>
        <w:t xml:space="preserve">, </w:t>
      </w:r>
      <w:r w:rsidRPr="00115A21">
        <w:rPr>
          <w:rStyle w:val="sb8d990e2"/>
          <w:i/>
          <w:iCs/>
        </w:rPr>
        <w:t>op. cit.</w:t>
      </w:r>
      <w:r w:rsidRPr="00F8280F">
        <w:rPr>
          <w:rStyle w:val="sb8d990e2"/>
        </w:rPr>
        <w:t xml:space="preserve"> w paragrafach 48-49).</w:t>
      </w:r>
    </w:p>
    <w:p w:rsidR="001C1275" w:rsidRPr="00334649" w:rsidRDefault="001C1275" w:rsidP="008847BC">
      <w:pPr>
        <w:pStyle w:val="ECHRPara"/>
        <w:rPr>
          <w:snapToGrid w:val="0"/>
          <w:lang w:eastAsia="fr-FR"/>
        </w:rPr>
      </w:pPr>
      <w:r w:rsidRPr="005E2BCA">
        <w:rPr>
          <w:snapToGrid w:val="0"/>
          <w:lang w:eastAsia="fr-FR"/>
        </w:rPr>
        <w:fldChar w:fldCharType="begin"/>
      </w:r>
      <w:r w:rsidRPr="005E2BCA">
        <w:rPr>
          <w:snapToGrid w:val="0"/>
          <w:lang w:eastAsia="fr-FR"/>
        </w:rPr>
        <w:instrText xml:space="preserve"> SEQ level0 \*arabic </w:instrText>
      </w:r>
      <w:r w:rsidRPr="005E2BCA">
        <w:rPr>
          <w:snapToGrid w:val="0"/>
          <w:lang w:eastAsia="fr-FR"/>
        </w:rPr>
        <w:fldChar w:fldCharType="separate"/>
      </w:r>
      <w:r w:rsidRPr="005E2BCA">
        <w:rPr>
          <w:noProof/>
          <w:snapToGrid w:val="0"/>
          <w:lang w:eastAsia="fr-FR"/>
        </w:rPr>
        <w:t>54</w:t>
      </w:r>
      <w:r w:rsidRPr="005E2BCA">
        <w:rPr>
          <w:snapToGrid w:val="0"/>
          <w:lang w:eastAsia="fr-FR"/>
        </w:rPr>
        <w:fldChar w:fldCharType="end"/>
      </w:r>
      <w:r w:rsidRPr="005E2BCA">
        <w:rPr>
          <w:snapToGrid w:val="0"/>
          <w:lang w:eastAsia="fr-FR"/>
        </w:rPr>
        <w:t>.  </w:t>
      </w:r>
      <w:r>
        <w:rPr>
          <w:rStyle w:val="sb8d990e2"/>
        </w:rPr>
        <w:t>Ten wniosek, wyprowadzony z obowiązujących przepisów prawa</w:t>
      </w:r>
      <w:r w:rsidRPr="00F8280F">
        <w:rPr>
          <w:rStyle w:val="sb8d990e2"/>
        </w:rPr>
        <w:t xml:space="preserve"> </w:t>
      </w:r>
      <w:r>
        <w:rPr>
          <w:rStyle w:val="sb8d990e2"/>
        </w:rPr>
        <w:t xml:space="preserve">ukraińskiego, poparty jest odniesieniem do zakresu i natury „rozpatrywania sprawy" dokonanym przez Sąd Najwyższy w dniu 24 marca 2008 r. przed oddaleniem odwołania o charakterze wyjątkowym skarżącej i pozostawieniem zaskarżonej decyzji w postaci niezmienionej. W trakcie rozpatrywania sprawy Sąd Najwyższy zapoznał się z aktami sprawy i decyzjami sądowymi zapadłymi w toku pierwotnego postępowania w świetle nowych wniosków przedłożonych przez skarżącą w oparciu przede wszystkim o wyrok Trybunału z 3 maja 2007 r. (zob. paragrafy 20-21 powyżej). Zatem przebieg postępowania z marca 2008 r. można porównać z postępowaniem dotyczącym skargi kasacyjnej wniesionej przez skarżącą i rozstrzygniętej przez Sąd Najwyższy w sierpniu 2002 r. (zob. paragraf 11 powyżej oraz </w:t>
      </w:r>
      <w:r>
        <w:rPr>
          <w:rStyle w:val="s6b621b36"/>
        </w:rPr>
        <w:t>Bochan</w:t>
      </w:r>
      <w:r>
        <w:rPr>
          <w:rStyle w:val="sb8d990e2"/>
        </w:rPr>
        <w:t xml:space="preserve">, </w:t>
      </w:r>
      <w:r w:rsidRPr="00115A21">
        <w:rPr>
          <w:rStyle w:val="sb8d990e2"/>
          <w:i/>
          <w:iCs/>
        </w:rPr>
        <w:t>op. cit.</w:t>
      </w:r>
      <w:r>
        <w:rPr>
          <w:rStyle w:val="sb8d990e2"/>
        </w:rPr>
        <w:t xml:space="preserve">, § 39), do którego art. 6 ust. 1 miał zastosowanie </w:t>
      </w:r>
      <w:r>
        <w:rPr>
          <w:rStyle w:val="s6b621b36"/>
          <w:i/>
          <w:iCs/>
        </w:rPr>
        <w:t>ratione materiae</w:t>
      </w:r>
      <w:r>
        <w:rPr>
          <w:rStyle w:val="sb8d990e2"/>
        </w:rPr>
        <w:t xml:space="preserve">. W opinii Trybunału, w marcu 2008 r. Sąd Najwyższy rozpatrzył sprawę cywilną skarżącej „w świetle wyjątkowych okoliczności", a mianowicie wyroku Trybunału z 2007 r., w ramach procedury przypominającej procedurę kasacyjną, i nie znalazł podstaw, by uchylić zaskarżane decyzje. Sąd Najwyższy dokonał </w:t>
      </w:r>
      <w:r w:rsidRPr="004A577B">
        <w:rPr>
          <w:rStyle w:val="sb8d990e2"/>
        </w:rPr>
        <w:t>więc „ponownego rozpatrzenia", jak określiła to ustawa z 2006 r., roszczenia</w:t>
      </w:r>
      <w:r>
        <w:rPr>
          <w:rStyle w:val="sb8d990e2"/>
        </w:rPr>
        <w:t xml:space="preserve"> majątkowego skarżącej w oparciu o nowe podstawy związane z [jego] interpretacją wyroku Trybunału z dnia 3 maja 2007, postanawiając jednakże nie zmieniać wyniku sprawy oraz, w szczególności, nie zarządzać pełnego ponownego jej rozpoznania przez sąd niższej instancji.</w:t>
      </w:r>
    </w:p>
    <w:p w:rsidR="001C1275" w:rsidRPr="00334649" w:rsidRDefault="001C1275" w:rsidP="008847BC">
      <w:pPr>
        <w:pStyle w:val="ECHRPara"/>
        <w:rPr>
          <w:snapToGrid w:val="0"/>
          <w:lang w:eastAsia="fr-FR"/>
        </w:rPr>
      </w:pPr>
      <w:r w:rsidRPr="005E2BCA">
        <w:rPr>
          <w:snapToGrid w:val="0"/>
          <w:lang w:eastAsia="fr-FR"/>
        </w:rPr>
        <w:fldChar w:fldCharType="begin"/>
      </w:r>
      <w:r w:rsidRPr="005E2BCA">
        <w:rPr>
          <w:snapToGrid w:val="0"/>
          <w:lang w:eastAsia="fr-FR"/>
        </w:rPr>
        <w:instrText xml:space="preserve"> SEQ level0 \*arabic </w:instrText>
      </w:r>
      <w:r w:rsidRPr="005E2BCA">
        <w:rPr>
          <w:snapToGrid w:val="0"/>
          <w:lang w:eastAsia="fr-FR"/>
        </w:rPr>
        <w:fldChar w:fldCharType="separate"/>
      </w:r>
      <w:r w:rsidRPr="005E2BCA">
        <w:rPr>
          <w:noProof/>
          <w:snapToGrid w:val="0"/>
          <w:lang w:eastAsia="fr-FR"/>
        </w:rPr>
        <w:t>55</w:t>
      </w:r>
      <w:r w:rsidRPr="005E2BCA">
        <w:rPr>
          <w:snapToGrid w:val="0"/>
          <w:lang w:eastAsia="fr-FR"/>
        </w:rPr>
        <w:fldChar w:fldCharType="end"/>
      </w:r>
      <w:r w:rsidRPr="005E2BCA">
        <w:rPr>
          <w:snapToGrid w:val="0"/>
          <w:lang w:eastAsia="fr-FR"/>
        </w:rPr>
        <w:t>.  </w:t>
      </w:r>
      <w:r>
        <w:rPr>
          <w:rStyle w:val="sb8d990e2"/>
        </w:rPr>
        <w:t>Powyższych ustaleń nie zmienia fakt, że w czerwcu 2008 r. Sąd Najwyższy, opierając się na art. 356 Kodeksu, oddalił skargę następczą skarżącej z kwietnia 2008 r. jako niedopuszczalną z przyczyn formalnych bez dalszego „rozpatrywania" materialnych aspektów sprawy (zob. paragraf 23 powyżej).</w:t>
      </w:r>
    </w:p>
    <w:p w:rsidR="001C1275" w:rsidRPr="00334649" w:rsidRDefault="001C1275" w:rsidP="008847BC">
      <w:pPr>
        <w:pStyle w:val="ECHRPara"/>
        <w:rPr>
          <w:lang w:eastAsia="fr-FR"/>
        </w:rPr>
      </w:pPr>
      <w:r w:rsidRPr="005E2BCA">
        <w:rPr>
          <w:lang w:eastAsia="fr-FR"/>
        </w:rPr>
        <w:fldChar w:fldCharType="begin"/>
      </w:r>
      <w:r w:rsidRPr="005E2BCA">
        <w:rPr>
          <w:lang w:eastAsia="fr-FR"/>
        </w:rPr>
        <w:instrText xml:space="preserve"> SEQ level0 \*arabic </w:instrText>
      </w:r>
      <w:r w:rsidRPr="005E2BCA">
        <w:rPr>
          <w:lang w:eastAsia="fr-FR"/>
        </w:rPr>
        <w:fldChar w:fldCharType="separate"/>
      </w:r>
      <w:r w:rsidRPr="005E2BCA">
        <w:rPr>
          <w:noProof/>
          <w:lang w:eastAsia="fr-FR"/>
        </w:rPr>
        <w:t>56</w:t>
      </w:r>
      <w:r w:rsidRPr="005E2BCA">
        <w:rPr>
          <w:lang w:eastAsia="fr-FR"/>
        </w:rPr>
        <w:fldChar w:fldCharType="end"/>
      </w:r>
      <w:r w:rsidRPr="005E2BCA">
        <w:rPr>
          <w:lang w:eastAsia="fr-FR"/>
        </w:rPr>
        <w:t>.  </w:t>
      </w:r>
      <w:r>
        <w:rPr>
          <w:rStyle w:val="sb8d990e2"/>
        </w:rPr>
        <w:t>Stąd, w świetle zarówno odpowiednich przepisów ustawodawstwa ukraińskiego jak i natury oraz zakresu postępowania zakończonego decyzją Sądu Najwyższego z dnia 14 marca 2008 r. w związku z odwołaniem o charakterze wyjątkowym skarżącej, po którym wydana została decyzja potwierdzająca w czerwcu 2008 r., Trybunał jest zdania, że postępowanie to było decydujące dla rozstrzygania o prawach i obowiązkach o charakterze cywilnym skarżącej. W konsekwencji do wspomnianego postępowania mają więc zastosowanie odpowiednie gwarancje przewidziane w art. 6 ust. 1 Konwencji. Odpowiednio, zastrzeżenie Rządu dotyczące zastosowania tego przepisu do zaskarżonego postępowania musi zostać odrzucone.</w:t>
      </w:r>
    </w:p>
    <w:p w:rsidR="001C1275" w:rsidRPr="00334649" w:rsidRDefault="001C1275" w:rsidP="008847BC">
      <w:pPr>
        <w:pStyle w:val="ECHRPara"/>
        <w:rPr>
          <w:lang w:eastAsia="fr-FR"/>
        </w:rPr>
      </w:pPr>
      <w:r w:rsidRPr="005E2BCA">
        <w:rPr>
          <w:lang w:eastAsia="fr-FR"/>
        </w:rPr>
        <w:fldChar w:fldCharType="begin"/>
      </w:r>
      <w:r w:rsidRPr="005E2BCA">
        <w:rPr>
          <w:lang w:eastAsia="fr-FR"/>
        </w:rPr>
        <w:instrText xml:space="preserve"> SEQ level0 \*arabic </w:instrText>
      </w:r>
      <w:r w:rsidRPr="005E2BCA">
        <w:rPr>
          <w:lang w:eastAsia="fr-FR"/>
        </w:rPr>
        <w:fldChar w:fldCharType="separate"/>
      </w:r>
      <w:r w:rsidRPr="005E2BCA">
        <w:rPr>
          <w:noProof/>
          <w:lang w:eastAsia="fr-FR"/>
        </w:rPr>
        <w:t>57</w:t>
      </w:r>
      <w:r w:rsidRPr="005E2BCA">
        <w:rPr>
          <w:lang w:eastAsia="fr-FR"/>
        </w:rPr>
        <w:fldChar w:fldCharType="end"/>
      </w:r>
      <w:r w:rsidRPr="005E2BCA">
        <w:rPr>
          <w:lang w:eastAsia="fr-FR"/>
        </w:rPr>
        <w:t>.  </w:t>
      </w:r>
      <w:r>
        <w:rPr>
          <w:rStyle w:val="sb8d990e2"/>
        </w:rPr>
        <w:t xml:space="preserve">Niezależnie od wniosków dotyczących zastosowania art. 6 ust. 1 do rodzaju omawianego postępowania w niniejszej sprawie, Trybunał pragnie powtórzyć, że to w gestii Układających się Państw leży decyzja, jak najlepiej wdrożyć wyroki sądu bez zbędnego naruszania zasad </w:t>
      </w:r>
      <w:r>
        <w:rPr>
          <w:rStyle w:val="s6b621b36"/>
          <w:i/>
          <w:iCs/>
        </w:rPr>
        <w:t>res iudicata</w:t>
      </w:r>
      <w:r>
        <w:rPr>
          <w:rStyle w:val="sb8d990e2"/>
        </w:rPr>
        <w:t xml:space="preserve"> lub pewności prawnej w postępowaniu cywilnym, w szczególności w przypadku, w którym takie postępowanie dotyczy stron trzecich posiadających własne, uzasadnione interesy do ochrony. Co więcej, nawet jeżeli Układające się Państwo przewiduje możliwość wystąpienia z wnioskiem o wznowienie</w:t>
      </w:r>
      <w:r w:rsidDel="00245EF9">
        <w:rPr>
          <w:rStyle w:val="sb8d990e2"/>
        </w:rPr>
        <w:t xml:space="preserve"> </w:t>
      </w:r>
      <w:r>
        <w:rPr>
          <w:rStyle w:val="sb8d990e2"/>
        </w:rPr>
        <w:t>zamkniętego postępowania sądowego na podstawie wyroku Trybunału, to do władz krajowych należy zapewnienie procedury pozwalającej zająć się takimi wnioskami oraz ustalenie kryteriów pozwalających na ocenienie, czy w danej sprawie wznowienie postępowania jest wymagane. Wśród Układających się Państw nie istnieje jednolite podejście do możliwości ubiegania się o wznowienie</w:t>
      </w:r>
      <w:r w:rsidDel="00245EF9">
        <w:rPr>
          <w:rStyle w:val="sb8d990e2"/>
        </w:rPr>
        <w:t xml:space="preserve"> </w:t>
      </w:r>
      <w:r>
        <w:rPr>
          <w:rStyle w:val="sb8d990e2"/>
        </w:rPr>
        <w:t>zakończonego postępowania cywilnego w ślad za stwierdzeniem przez Trybunał naruszenia, ani też w zakresie możliwych sposobów realizacji istniejących mechanizmów wznowienia</w:t>
      </w:r>
      <w:r w:rsidDel="00245EF9">
        <w:rPr>
          <w:rStyle w:val="sb8d990e2"/>
        </w:rPr>
        <w:t xml:space="preserve"> </w:t>
      </w:r>
      <w:r>
        <w:rPr>
          <w:rStyle w:val="sb8d990e2"/>
        </w:rPr>
        <w:t>postępowania (zob. paragrafy 26-27 powyżej).</w:t>
      </w:r>
    </w:p>
    <w:p w:rsidR="001C1275" w:rsidRPr="00334649" w:rsidRDefault="001C1275" w:rsidP="008847BC">
      <w:pPr>
        <w:pStyle w:val="ECHRPara"/>
      </w:pPr>
      <w:fldSimple w:instr=" SEQ level0 \*arabic ">
        <w:r w:rsidRPr="005E2BCA">
          <w:rPr>
            <w:noProof/>
          </w:rPr>
          <w:t>58</w:t>
        </w:r>
      </w:fldSimple>
      <w:r w:rsidRPr="005E2BCA">
        <w:t>.  </w:t>
      </w:r>
      <w:r>
        <w:rPr>
          <w:rStyle w:val="sb8d990e2"/>
        </w:rPr>
        <w:t xml:space="preserve">Niemniej powyższe rozważania nie powinny odwracać uwagi od znaczenia – w kontekście efektywności systemu Konwencji – zapewnienia dostępności procedur krajowych umożliwiających ponowne rozpatrzenie sprawy w świetle stwierdzenia naruszeń gwarancji rzetelnego procesu przewidzianych w art. 6. Wręcz przeciwnie, procedury takie można uważać za istotny aspekt wykonania wyroków Trybunału zgodnie z art. 46 Konwencji, a ich dostępność demonstruje zaangażowanie Układającego się Państwa w przestrzeganie Konwencji oraz orzecznictwa Trybunału (patrz </w:t>
      </w:r>
      <w:r w:rsidRPr="00C239EF">
        <w:rPr>
          <w:rStyle w:val="s6b621b36"/>
          <w:i/>
          <w:iCs/>
        </w:rPr>
        <w:t>Lyons i Inni</w:t>
      </w:r>
      <w:r>
        <w:rPr>
          <w:rStyle w:val="sb8d990e2"/>
        </w:rPr>
        <w:t xml:space="preserve">, </w:t>
      </w:r>
      <w:r w:rsidRPr="00115A21">
        <w:rPr>
          <w:rStyle w:val="sb8d990e2"/>
          <w:i/>
          <w:iCs/>
        </w:rPr>
        <w:t>op. cit.</w:t>
      </w:r>
      <w:r>
        <w:rPr>
          <w:rStyle w:val="sb8d990e2"/>
        </w:rPr>
        <w:t xml:space="preserve">). Trybunał przypomina w tym kontekście Zalecenie nr R (2000) 2 przyjęte przez Komitet Ministrów, w którym Państwa-Strony Konwencji wzywa się do zapewnienia adekwatnych możliwości wznowienia postępowania na szczeblu krajowym w przypadku stwierdzenia przez Trybunał naruszenia Konwencji (zob. paragraf 28 powyżej). Trybunał potwierdza swoją opinię, że środki tego rodzaju mogą stanowić „najbardziej skuteczny, jeżeli nie jedyny, środek osiągnięcia </w:t>
      </w:r>
      <w:r>
        <w:rPr>
          <w:rStyle w:val="s6b621b36"/>
          <w:i/>
          <w:iCs/>
        </w:rPr>
        <w:t>restitutio in integrum</w:t>
      </w:r>
      <w:r>
        <w:rPr>
          <w:rStyle w:val="sb8d990e2"/>
          <w:i/>
          <w:iCs/>
        </w:rPr>
        <w:t xml:space="preserve">" </w:t>
      </w:r>
      <w:r>
        <w:rPr>
          <w:rStyle w:val="sb8d990e2"/>
        </w:rPr>
        <w:t>(</w:t>
      </w:r>
      <w:r w:rsidRPr="00C239EF">
        <w:rPr>
          <w:rStyle w:val="sb8d990e2"/>
          <w:i/>
          <w:iCs/>
        </w:rPr>
        <w:t xml:space="preserve">patrz </w:t>
      </w:r>
      <w:r w:rsidRPr="00C239EF">
        <w:rPr>
          <w:rStyle w:val="s6b621b36"/>
          <w:i/>
          <w:iCs/>
        </w:rPr>
        <w:t>Verein gegen Tierfabriken Schweiz (VgT) (nr 2)</w:t>
      </w:r>
      <w:r>
        <w:rPr>
          <w:rStyle w:val="sb8d990e2"/>
        </w:rPr>
        <w:t>, sprawa przywołana w paragrafie 33 powyżej, §§ 33 i 89; oraz</w:t>
      </w:r>
      <w:r>
        <w:rPr>
          <w:rStyle w:val="s6b621b36"/>
        </w:rPr>
        <w:t xml:space="preserve"> </w:t>
      </w:r>
      <w:r w:rsidRPr="00C239EF">
        <w:rPr>
          <w:rStyle w:val="s6b621b36"/>
          <w:i/>
          <w:iCs/>
        </w:rPr>
        <w:t>Steck-Risch i Inni</w:t>
      </w:r>
      <w:r>
        <w:rPr>
          <w:rStyle w:val="sb8d990e2"/>
        </w:rPr>
        <w:t xml:space="preserve">, </w:t>
      </w:r>
      <w:r w:rsidRPr="00115A21">
        <w:rPr>
          <w:rStyle w:val="sb8d990e2"/>
          <w:i/>
          <w:iCs/>
        </w:rPr>
        <w:t>op. cit.</w:t>
      </w:r>
      <w:r>
        <w:rPr>
          <w:rStyle w:val="sb8d990e2"/>
        </w:rPr>
        <w:t>).</w:t>
      </w:r>
    </w:p>
    <w:p w:rsidR="001C1275" w:rsidRPr="00334649" w:rsidRDefault="001C1275" w:rsidP="0062363B">
      <w:pPr>
        <w:pStyle w:val="ECHRHeading2"/>
        <w:rPr>
          <w:lang w:val="pl-PL"/>
        </w:rPr>
      </w:pPr>
      <w:r w:rsidRPr="005E2BCA">
        <w:rPr>
          <w:lang w:val="pl-PL"/>
        </w:rPr>
        <w:t>C.  </w:t>
      </w:r>
      <w:r w:rsidRPr="005E2BCA">
        <w:rPr>
          <w:rStyle w:val="s7d2086b4"/>
          <w:lang w:val="pl-PL"/>
        </w:rPr>
        <w:t>Czy nowa skarga</w:t>
      </w:r>
      <w:r>
        <w:rPr>
          <w:rStyle w:val="s7d2086b4"/>
          <w:lang w:val="pl-PL"/>
        </w:rPr>
        <w:t xml:space="preserve"> skarżącej na podstawie art. 6 </w:t>
      </w:r>
      <w:r w:rsidRPr="00374757">
        <w:rPr>
          <w:rStyle w:val="sb8d990e2"/>
          <w:lang w:val="pl-PL"/>
        </w:rPr>
        <w:t>ust.</w:t>
      </w:r>
      <w:r w:rsidRPr="00115A21">
        <w:rPr>
          <w:rStyle w:val="sb8d990e2"/>
          <w:lang w:val="pl-PL"/>
        </w:rPr>
        <w:t xml:space="preserve"> </w:t>
      </w:r>
      <w:r w:rsidRPr="005E2BCA">
        <w:rPr>
          <w:rStyle w:val="s7d2086b4"/>
          <w:lang w:val="pl-PL"/>
        </w:rPr>
        <w:t>1 Konwencji spełnia inne kryteria dopuszczalności</w:t>
      </w:r>
    </w:p>
    <w:p w:rsidR="001C1275" w:rsidRPr="00334649" w:rsidRDefault="001C1275" w:rsidP="00C315B9">
      <w:pPr>
        <w:pStyle w:val="ECHRPara"/>
      </w:pPr>
      <w:fldSimple w:instr=" SEQ level0 \*arabic ">
        <w:r w:rsidRPr="005E2BCA">
          <w:rPr>
            <w:noProof/>
          </w:rPr>
          <w:t>59</w:t>
        </w:r>
      </w:fldSimple>
      <w:r w:rsidRPr="005E2BCA">
        <w:t>.  </w:t>
      </w:r>
      <w:r>
        <w:rPr>
          <w:rStyle w:val="sb8d990e2"/>
        </w:rPr>
        <w:t>Trybunał stwierdza ponadto, że skarga skarżącej dotycząca braku rzetelności postępowania zakończonego decyzją Sądu Najwyższego z dnia 14 marca 2008 r. nie jest w oczywisty sposób nieuzasadniona w rozumieniu art. 35 ust. 3 (a) Konwencji oraz że nie jest ona niedopuszczalna na żadnej innej podstawie. W związku z powyższym musi ona zostać uznana za dopuszczalną.</w:t>
      </w:r>
    </w:p>
    <w:p w:rsidR="001C1275" w:rsidRPr="00334649" w:rsidRDefault="001C1275" w:rsidP="0062363B">
      <w:pPr>
        <w:pStyle w:val="ECHRHeading2"/>
        <w:rPr>
          <w:lang w:val="pl-PL"/>
        </w:rPr>
      </w:pPr>
      <w:r w:rsidRPr="005E2BCA">
        <w:rPr>
          <w:lang w:val="pl-PL"/>
        </w:rPr>
        <w:t>D.  </w:t>
      </w:r>
      <w:r>
        <w:rPr>
          <w:rStyle w:val="s7d2086b4"/>
          <w:lang w:val="pl-PL"/>
        </w:rPr>
        <w:t>Przedmiot</w:t>
      </w:r>
      <w:r w:rsidRPr="005E2BCA">
        <w:rPr>
          <w:rStyle w:val="s7d2086b4"/>
          <w:lang w:val="pl-PL"/>
        </w:rPr>
        <w:t xml:space="preserve"> nowej skargi skarżącej w oparciu o </w:t>
      </w:r>
      <w:r>
        <w:rPr>
          <w:rStyle w:val="s7d2086b4"/>
          <w:lang w:val="pl-PL"/>
        </w:rPr>
        <w:t>art.</w:t>
      </w:r>
      <w:r w:rsidRPr="005E2BCA">
        <w:rPr>
          <w:rStyle w:val="s7d2086b4"/>
          <w:lang w:val="pl-PL"/>
        </w:rPr>
        <w:t xml:space="preserve"> 6 </w:t>
      </w:r>
      <w:r w:rsidRPr="00374757">
        <w:rPr>
          <w:rStyle w:val="sb8d990e2"/>
          <w:lang w:val="pl-PL"/>
        </w:rPr>
        <w:t>ust.</w:t>
      </w:r>
      <w:r w:rsidRPr="00115A21">
        <w:rPr>
          <w:rStyle w:val="sb8d990e2"/>
          <w:lang w:val="pl-PL"/>
        </w:rPr>
        <w:t xml:space="preserve"> </w:t>
      </w:r>
      <w:r w:rsidRPr="005E2BCA">
        <w:rPr>
          <w:rStyle w:val="s7d2086b4"/>
          <w:lang w:val="pl-PL"/>
        </w:rPr>
        <w:t>1 Konwencji</w:t>
      </w:r>
    </w:p>
    <w:p w:rsidR="001C1275" w:rsidRPr="00334649" w:rsidRDefault="001C1275" w:rsidP="00C621C2">
      <w:pPr>
        <w:pStyle w:val="ECHRPara"/>
      </w:pPr>
      <w:fldSimple w:instr=" SEQ level0 \*arabic ">
        <w:r w:rsidRPr="005E2BCA">
          <w:rPr>
            <w:noProof/>
          </w:rPr>
          <w:t>60</w:t>
        </w:r>
      </w:fldSimple>
      <w:r w:rsidRPr="005E2BCA">
        <w:t>.  </w:t>
      </w:r>
      <w:r>
        <w:rPr>
          <w:rStyle w:val="sb8d990e2"/>
        </w:rPr>
        <w:t>Jeżeli chodzi o kwestię zgodności z wymogami przewidzianymi w art. 6 ust. 1 w niniejszej sprawie, Trybunał pragnie zauważyć, że zarzuty skarżącej dotyczące nierzetelności były skierowane wprost przeciwko rozumowaniu Sądu Najwyższego zastosowanemu w jego decyzji z 14 marca 2008 r.</w:t>
      </w:r>
    </w:p>
    <w:p w:rsidR="001C1275" w:rsidRDefault="001C1275" w:rsidP="008847BC">
      <w:pPr>
        <w:pStyle w:val="ECHRPara"/>
        <w:rPr>
          <w:rStyle w:val="sb8d990e2"/>
        </w:rPr>
      </w:pPr>
      <w:fldSimple w:instr=" SEQ level0 \*arabic ">
        <w:r w:rsidRPr="005E2BCA">
          <w:rPr>
            <w:noProof/>
          </w:rPr>
          <w:t>61</w:t>
        </w:r>
      </w:fldSimple>
      <w:r w:rsidRPr="005E2BCA">
        <w:t>.  </w:t>
      </w:r>
      <w:r>
        <w:rPr>
          <w:rStyle w:val="sb8d990e2"/>
        </w:rPr>
        <w:t xml:space="preserve">Trybunał powtarza, że – zgodnie utrwalonym i dobrze ugruntowanym orzecznictwem – nie jest jego zadaniem zajmować się domniemanymi błędami w ustaleniach prawnych lub faktycznych popełnionymi przez sądy krajowe, chyba że oraz w zakresie w jakim mogą one naruszać prawa i wolności chronione Konwencją (patrz na przykład </w:t>
      </w:r>
      <w:r w:rsidRPr="00086B80">
        <w:rPr>
          <w:rStyle w:val="s6b621b36"/>
          <w:i/>
          <w:iCs/>
        </w:rPr>
        <w:t>García</w:t>
      </w:r>
      <w:r>
        <w:rPr>
          <w:rStyle w:val="s6b621b36"/>
        </w:rPr>
        <w:t xml:space="preserve"> </w:t>
      </w:r>
      <w:r w:rsidRPr="00086B80">
        <w:rPr>
          <w:rStyle w:val="s6b621b36"/>
          <w:i/>
          <w:iCs/>
        </w:rPr>
        <w:t>Ruiz</w:t>
      </w:r>
      <w:r>
        <w:rPr>
          <w:rStyle w:val="s6b621b36"/>
        </w:rPr>
        <w:t xml:space="preserve"> </w:t>
      </w:r>
      <w:r w:rsidRPr="00086B80">
        <w:rPr>
          <w:rStyle w:val="s6b621b36"/>
          <w:i/>
          <w:iCs/>
        </w:rPr>
        <w:t>przeciwko</w:t>
      </w:r>
      <w:r>
        <w:rPr>
          <w:rStyle w:val="s6b621b36"/>
        </w:rPr>
        <w:t xml:space="preserve"> </w:t>
      </w:r>
      <w:r w:rsidRPr="00086B80">
        <w:rPr>
          <w:rStyle w:val="s6b621b36"/>
          <w:i/>
          <w:iCs/>
        </w:rPr>
        <w:t>Hiszpanii</w:t>
      </w:r>
      <w:r>
        <w:rPr>
          <w:rStyle w:val="sb8d990e2"/>
        </w:rPr>
        <w:t xml:space="preserve"> [Wielka Izba], nr </w:t>
      </w:r>
      <w:r w:rsidRPr="00CF5AF9">
        <w:t>30544/96</w:t>
      </w:r>
      <w:r>
        <w:rPr>
          <w:rStyle w:val="sb8d990e2"/>
        </w:rPr>
        <w:t>, § 28, ETPC 1999</w:t>
      </w:r>
      <w:r>
        <w:rPr>
          <w:rStyle w:val="sb8d990e2"/>
        </w:rPr>
        <w:noBreakHyphen/>
        <w:t xml:space="preserve">I; oraz </w:t>
      </w:r>
      <w:r w:rsidRPr="00086B80">
        <w:rPr>
          <w:rStyle w:val="s6b621b36"/>
          <w:i/>
          <w:iCs/>
        </w:rPr>
        <w:t>Perez</w:t>
      </w:r>
      <w:r>
        <w:rPr>
          <w:rStyle w:val="s6b621b36"/>
        </w:rPr>
        <w:t xml:space="preserve"> </w:t>
      </w:r>
      <w:r w:rsidRPr="00086B80">
        <w:rPr>
          <w:rStyle w:val="s6b621b36"/>
          <w:i/>
          <w:iCs/>
        </w:rPr>
        <w:t>przeciwko</w:t>
      </w:r>
      <w:r>
        <w:rPr>
          <w:rStyle w:val="s6b621b36"/>
        </w:rPr>
        <w:t xml:space="preserve"> </w:t>
      </w:r>
      <w:r w:rsidRPr="00086B80">
        <w:rPr>
          <w:rStyle w:val="s6b621b36"/>
          <w:i/>
          <w:iCs/>
        </w:rPr>
        <w:t>Francji</w:t>
      </w:r>
      <w:r>
        <w:rPr>
          <w:rStyle w:val="s6b621b36"/>
        </w:rPr>
        <w:t xml:space="preserve"> </w:t>
      </w:r>
      <w:r>
        <w:rPr>
          <w:rStyle w:val="sb8d990e2"/>
        </w:rPr>
        <w:t xml:space="preserve">[Wielka Izba], nr </w:t>
      </w:r>
      <w:r w:rsidRPr="00CF5AF9">
        <w:t>47287/99</w:t>
      </w:r>
      <w:r>
        <w:rPr>
          <w:rStyle w:val="sb8d990e2"/>
        </w:rPr>
        <w:t>, § 82, ETPC 2004</w:t>
      </w:r>
      <w:r>
        <w:rPr>
          <w:rStyle w:val="sb8d990e2"/>
        </w:rPr>
        <w:noBreakHyphen/>
        <w:t xml:space="preserve">I), na przykład w sytuacji, w której można – na zasadzie wyjątku – powiedzieć, że rzeczone błędy stanowią o „nierzetelności" niezgodnej z art. 6 Konwencji. Mimo iż przepis ten gwarantuje prawo do sprawiedliwego rozpatrzenia sprawy, nie ustanawia on jakichkolwiek zasad dotyczących dopuszczalności dowodów lub sposobów ich oceny, pozostawiając tę kwestię ustawodawstwu krajowemu i sądom krajowym. Co do zasady kwestie takie jak waga przywiązywana przez sądy krajowe do poszczególnych dowodów lub ustaleń bądź ocen w danej sprawie, przedłożonych sądom do rozważenia, nie </w:t>
      </w:r>
      <w:r w:rsidRPr="004A577B">
        <w:rPr>
          <w:rStyle w:val="sb8d990e2"/>
        </w:rPr>
        <w:t>podlegają kontroli</w:t>
      </w:r>
      <w:r>
        <w:rPr>
          <w:rStyle w:val="sb8d990e2"/>
        </w:rPr>
        <w:t xml:space="preserve"> Trybunału. Trybunał nie działa w charakterze czwartej instancji i w związku z tym nie kwestionuje na podstawie art. 6 ust. 1 wyroku sądów krajowych, chyba że ich ustalenia można uznać za arbitralne lub w oczywisty sposób nierozsądne (patrz na przykład </w:t>
      </w:r>
      <w:r w:rsidRPr="00086B80">
        <w:rPr>
          <w:rStyle w:val="s6b621b36"/>
          <w:i/>
          <w:iCs/>
        </w:rPr>
        <w:t>Dulaurans</w:t>
      </w:r>
      <w:r>
        <w:rPr>
          <w:rStyle w:val="s6b621b36"/>
        </w:rPr>
        <w:t xml:space="preserve"> </w:t>
      </w:r>
      <w:r w:rsidRPr="00086B80">
        <w:rPr>
          <w:rStyle w:val="s6b621b36"/>
          <w:i/>
          <w:iCs/>
        </w:rPr>
        <w:t>przeciwko</w:t>
      </w:r>
      <w:r>
        <w:rPr>
          <w:rStyle w:val="s6b621b36"/>
        </w:rPr>
        <w:t xml:space="preserve"> </w:t>
      </w:r>
      <w:r w:rsidRPr="00086B80">
        <w:rPr>
          <w:rStyle w:val="s6b621b36"/>
          <w:i/>
          <w:iCs/>
        </w:rPr>
        <w:t>Francji</w:t>
      </w:r>
      <w:r>
        <w:rPr>
          <w:rStyle w:val="sb8d990e2"/>
        </w:rPr>
        <w:t xml:space="preserve">, nr </w:t>
      </w:r>
      <w:r w:rsidRPr="00CF5AF9">
        <w:t>34553/97</w:t>
      </w:r>
      <w:r>
        <w:rPr>
          <w:rStyle w:val="sb8d990e2"/>
        </w:rPr>
        <w:t xml:space="preserve">, §§ 33-34 i 38, 21 marca 2000 r.; </w:t>
      </w:r>
      <w:r w:rsidRPr="00086B80">
        <w:rPr>
          <w:rStyle w:val="s6b621b36"/>
          <w:i/>
          <w:iCs/>
        </w:rPr>
        <w:t>Khamidov</w:t>
      </w:r>
      <w:r>
        <w:rPr>
          <w:rStyle w:val="s6b621b36"/>
        </w:rPr>
        <w:t xml:space="preserve"> </w:t>
      </w:r>
      <w:r w:rsidRPr="00086B80">
        <w:rPr>
          <w:rStyle w:val="s6b621b36"/>
          <w:i/>
          <w:iCs/>
        </w:rPr>
        <w:t>przeciwko</w:t>
      </w:r>
      <w:r>
        <w:rPr>
          <w:rStyle w:val="s6b621b36"/>
        </w:rPr>
        <w:t xml:space="preserve"> </w:t>
      </w:r>
      <w:r w:rsidRPr="00086B80">
        <w:rPr>
          <w:rStyle w:val="s6b621b36"/>
          <w:i/>
          <w:iCs/>
        </w:rPr>
        <w:t>Rosji</w:t>
      </w:r>
      <w:r>
        <w:rPr>
          <w:rStyle w:val="sb8d990e2"/>
        </w:rPr>
        <w:t xml:space="preserve">, nr </w:t>
      </w:r>
      <w:r w:rsidRPr="00CF5AF9">
        <w:t>72118/01</w:t>
      </w:r>
      <w:r>
        <w:rPr>
          <w:rStyle w:val="sb8d990e2"/>
        </w:rPr>
        <w:t xml:space="preserve">, § 170, 15 listopada 2007 r.; oraz </w:t>
      </w:r>
      <w:r w:rsidRPr="00086B80">
        <w:rPr>
          <w:rStyle w:val="s6b621b36"/>
          <w:i/>
          <w:iCs/>
        </w:rPr>
        <w:t>Anđelković</w:t>
      </w:r>
      <w:r>
        <w:rPr>
          <w:rStyle w:val="s6b621b36"/>
        </w:rPr>
        <w:t xml:space="preserve"> </w:t>
      </w:r>
      <w:r w:rsidRPr="00086B80">
        <w:rPr>
          <w:rStyle w:val="s6b621b36"/>
          <w:i/>
          <w:iCs/>
        </w:rPr>
        <w:t>przeciwko</w:t>
      </w:r>
      <w:r>
        <w:rPr>
          <w:rStyle w:val="s6b621b36"/>
        </w:rPr>
        <w:t xml:space="preserve"> </w:t>
      </w:r>
      <w:r w:rsidRPr="00086B80">
        <w:rPr>
          <w:rStyle w:val="s6b621b36"/>
          <w:i/>
          <w:iCs/>
        </w:rPr>
        <w:t>Serbii</w:t>
      </w:r>
      <w:r>
        <w:rPr>
          <w:rStyle w:val="sb8d990e2"/>
        </w:rPr>
        <w:t xml:space="preserve">, nr </w:t>
      </w:r>
      <w:r w:rsidRPr="00CF5AF9">
        <w:t>1401/08</w:t>
      </w:r>
      <w:r>
        <w:rPr>
          <w:rStyle w:val="sb8d990e2"/>
        </w:rPr>
        <w:t>, § 24, 9 kwietnia 2013 r.).</w:t>
      </w:r>
    </w:p>
    <w:p w:rsidR="001C1275" w:rsidRPr="00AA7B00" w:rsidRDefault="001C1275" w:rsidP="008847BC">
      <w:pPr>
        <w:pStyle w:val="ECHRPara"/>
      </w:pPr>
      <w:fldSimple w:instr=" SEQ level0 \*arabic ">
        <w:r w:rsidRPr="00AA7B00">
          <w:rPr>
            <w:noProof/>
          </w:rPr>
          <w:t>62</w:t>
        </w:r>
      </w:fldSimple>
      <w:r w:rsidRPr="00AA7B00">
        <w:t>.  </w:t>
      </w:r>
      <w:r>
        <w:rPr>
          <w:rStyle w:val="sb8d990e2"/>
        </w:rPr>
        <w:t xml:space="preserve">Dlatego też w sprawie </w:t>
      </w:r>
      <w:r w:rsidRPr="00C239EF">
        <w:rPr>
          <w:rStyle w:val="s6b621b36"/>
          <w:i/>
          <w:iCs/>
        </w:rPr>
        <w:t>Dulaurans</w:t>
      </w:r>
      <w:r>
        <w:rPr>
          <w:rStyle w:val="sb8d990e2"/>
        </w:rPr>
        <w:t xml:space="preserve"> Trybunał stwierdził naruszenie prawa do rzetelnego procesu z uwagi na to, że jedyny powód, dla którego francuski Sąd Kasacyjny podjął zaskarżoną decyzję oddalającą skargę kasacyjną skarżącego jako niedopuszczalną, był wynikiem „</w:t>
      </w:r>
      <w:r w:rsidRPr="00A71277">
        <w:rPr>
          <w:rStyle w:val="s6b621b36"/>
          <w:i/>
          <w:iCs/>
        </w:rPr>
        <w:t>une erreur manifeste d’appréciation</w:t>
      </w:r>
      <w:r>
        <w:rPr>
          <w:rStyle w:val="sb8d990e2"/>
        </w:rPr>
        <w:t xml:space="preserve">” („oczywistej pomyłki w ocenie”) (patrz </w:t>
      </w:r>
      <w:r w:rsidRPr="00115A21">
        <w:rPr>
          <w:rStyle w:val="s6b621b36"/>
          <w:i/>
          <w:iCs/>
        </w:rPr>
        <w:t>Dulaurans</w:t>
      </w:r>
      <w:r>
        <w:rPr>
          <w:rStyle w:val="sb8d990e2"/>
        </w:rPr>
        <w:t xml:space="preserve">, </w:t>
      </w:r>
      <w:r w:rsidRPr="00115A21">
        <w:rPr>
          <w:rStyle w:val="sb8d990e2"/>
          <w:i/>
          <w:iCs/>
        </w:rPr>
        <w:t>op. cit.</w:t>
      </w:r>
      <w:r>
        <w:rPr>
          <w:rStyle w:val="sb8d990e2"/>
        </w:rPr>
        <w:t>). Myślenie leżące u podstaw pojęcia „</w:t>
      </w:r>
      <w:r w:rsidRPr="00E27E3F">
        <w:rPr>
          <w:rStyle w:val="s6b621b36"/>
          <w:i/>
          <w:iCs/>
        </w:rPr>
        <w:t>erreur manifeste d’appréciation</w:t>
      </w:r>
      <w:r>
        <w:rPr>
          <w:rStyle w:val="sb8d990e2"/>
        </w:rPr>
        <w:t xml:space="preserve">” (należącego do francuskiego prawa administracyjnego), zgodnie z jego użyciem w kontekście art. 6 ust. 1 Konwencji polega bez wątpienia na tym, że jeżeli błąd co do prawa lub faktu sądu krajowego jest tak wyraźny, że można go uznać za „oczywistą pomyłkę" – a mianowicie, że jest to błąd, którego nie popełni żaden rozsądny sąd – wówczas może on ze swej istoty mieć wpływ na rzetelność postępowania. W sprawie </w:t>
      </w:r>
      <w:r w:rsidRPr="00C239EF">
        <w:rPr>
          <w:rStyle w:val="s6b621b36"/>
          <w:i/>
          <w:iCs/>
        </w:rPr>
        <w:t>Khamidov</w:t>
      </w:r>
      <w:r>
        <w:rPr>
          <w:rStyle w:val="sb8d990e2"/>
        </w:rPr>
        <w:t xml:space="preserve"> nierozsądność wniosków sądów krajowych dotyczących faktów była „tak uderzająca i wyraźnie odczuwalna", że Trybunał stwierdził, że zaskarżone postępowanie należy uważać za „rażąco arbitralne" (patrz </w:t>
      </w:r>
      <w:r w:rsidRPr="00C239EF">
        <w:rPr>
          <w:rStyle w:val="s6b621b36"/>
          <w:i/>
          <w:iCs/>
        </w:rPr>
        <w:t>Khamidov</w:t>
      </w:r>
      <w:r>
        <w:rPr>
          <w:rStyle w:val="sb8d990e2"/>
        </w:rPr>
        <w:t xml:space="preserve">, </w:t>
      </w:r>
      <w:r w:rsidRPr="00115A21">
        <w:rPr>
          <w:rStyle w:val="sb8d990e2"/>
          <w:i/>
          <w:iCs/>
        </w:rPr>
        <w:t>op. cit.</w:t>
      </w:r>
      <w:r>
        <w:rPr>
          <w:rStyle w:val="sb8d990e2"/>
        </w:rPr>
        <w:t xml:space="preserve">, § 174). W </w:t>
      </w:r>
      <w:r w:rsidRPr="00C239EF">
        <w:rPr>
          <w:rStyle w:val="sb8d990e2"/>
          <w:i/>
          <w:iCs/>
        </w:rPr>
        <w:t>sprawie</w:t>
      </w:r>
      <w:r>
        <w:rPr>
          <w:rStyle w:val="sb8d990e2"/>
        </w:rPr>
        <w:t xml:space="preserve"> </w:t>
      </w:r>
      <w:r w:rsidRPr="00C239EF">
        <w:rPr>
          <w:rStyle w:val="s6b621b36"/>
          <w:i/>
          <w:iCs/>
        </w:rPr>
        <w:t>Anđelković</w:t>
      </w:r>
      <w:r>
        <w:rPr>
          <w:rStyle w:val="sb8d990e2"/>
        </w:rPr>
        <w:t xml:space="preserve"> Trybunał stwierdził, że arbitralność decyzji sądu krajowego, która zasadniczo nie miała żadnych podstaw prawnych w prawie krajowym i nie zawierała żadnego związku pomiędzy ustalonymi faktami, obowiązującym prawem a wynikiem postępowania, była „zaprzeczeniem sprawiedliwości" (patrz </w:t>
      </w:r>
      <w:r w:rsidRPr="00C239EF">
        <w:rPr>
          <w:rStyle w:val="s6b621b36"/>
          <w:i/>
          <w:iCs/>
        </w:rPr>
        <w:t>Anđelković</w:t>
      </w:r>
      <w:r>
        <w:rPr>
          <w:rStyle w:val="sb8d990e2"/>
        </w:rPr>
        <w:t xml:space="preserve">, </w:t>
      </w:r>
      <w:r w:rsidRPr="00115A21">
        <w:rPr>
          <w:rStyle w:val="sb8d990e2"/>
          <w:i/>
          <w:iCs/>
        </w:rPr>
        <w:t>op. cit.</w:t>
      </w:r>
      <w:r>
        <w:rPr>
          <w:rStyle w:val="sb8d990e2"/>
        </w:rPr>
        <w:t>, § 27).</w:t>
      </w:r>
    </w:p>
    <w:p w:rsidR="001C1275" w:rsidRPr="00AA7B00" w:rsidRDefault="001C1275" w:rsidP="008847BC">
      <w:pPr>
        <w:pStyle w:val="ECHRPara"/>
      </w:pPr>
      <w:fldSimple w:instr=" SEQ level0 \*arabic ">
        <w:r w:rsidRPr="005E2BCA">
          <w:rPr>
            <w:noProof/>
          </w:rPr>
          <w:t>63</w:t>
        </w:r>
      </w:fldSimple>
      <w:r w:rsidRPr="005E2BCA">
        <w:t>.  </w:t>
      </w:r>
      <w:r>
        <w:rPr>
          <w:rStyle w:val="sb8d990e2"/>
        </w:rPr>
        <w:t>W obecnej sprawie Trybunał zauważa, że w swojej decyzji z dnia 14 marca 2008 r. Sąd Najwyższy dokonał rażąco błędnej interpretacji ustaleń Trybunału zawartych w wyroku z dnia 3 maja 2007 r. W szczególności Sąd Najwyższy relacjonował, że [Trybunał] stwierdził, że decyzje sądów krajowych w sprawie skarżącej były zgodne z prawem i zasadne oraz że skarżącej przyznano słuszne zadośćuczynienie za naruszenie gwarancji „rozsądnego terminu", a zatem są to stwierdzenia wyraźnie mylne (zob. paragraf 13-18 i 21 powyżej).</w:t>
      </w:r>
    </w:p>
    <w:p w:rsidR="001C1275" w:rsidRPr="00AA7B00" w:rsidRDefault="001C1275" w:rsidP="008847BC">
      <w:pPr>
        <w:pStyle w:val="ECHRPara"/>
      </w:pPr>
      <w:fldSimple w:instr=" SEQ level0 \*arabic ">
        <w:r w:rsidRPr="005E2BCA">
          <w:rPr>
            <w:noProof/>
          </w:rPr>
          <w:t>64</w:t>
        </w:r>
      </w:fldSimple>
      <w:r w:rsidRPr="005E2BCA">
        <w:t>.  </w:t>
      </w:r>
      <w:r>
        <w:rPr>
          <w:rStyle w:val="sb8d990e2"/>
        </w:rPr>
        <w:t xml:space="preserve">Trybunał stwierdza, że rozumowanie Sądu Najwyższego nie polega wyłącznie na odmiennym odczytaniu tekstu prawnego. Zdaniem Trybunału, rozumowanie Sądu Najwyższego może być odebrane wyłącznie jako „rażąco arbitralne" lub stanowiące „zaprzeczenie sprawiedliwości" w tym sensie, że zniekształcone przedstawienie wyroku z 2007 r. w pierwszej sprawie </w:t>
      </w:r>
      <w:r w:rsidRPr="00C239EF">
        <w:rPr>
          <w:rStyle w:val="s6b621b36"/>
          <w:i/>
          <w:iCs/>
        </w:rPr>
        <w:t>Bochan</w:t>
      </w:r>
      <w:r>
        <w:rPr>
          <w:rStyle w:val="sb8d990e2"/>
        </w:rPr>
        <w:t xml:space="preserve"> (</w:t>
      </w:r>
      <w:r w:rsidRPr="00115A21">
        <w:rPr>
          <w:rStyle w:val="sb8d990e2"/>
          <w:i/>
          <w:iCs/>
        </w:rPr>
        <w:t>op. cit.</w:t>
      </w:r>
      <w:r>
        <w:rPr>
          <w:rStyle w:val="sb8d990e2"/>
        </w:rPr>
        <w:t xml:space="preserve">) skutkowało odrzuceniem próby skarżącej uzyskania rozpatrzenia jej roszczenia majątkowego w świetle wyroku Trybunału wydanego w jej poprzedniej sprawie w ramach procedury przypominającej procedurę kasacyjną przewidzianej w prawie krajowym (zob. paragrafy 51-53 powyżej).  W tym kontekście należy zauważyć, że w swoim wyroku z 2007 r. Trybunał stwierdził, że – ze względu na okoliczności, w których sprawa skarżącej została </w:t>
      </w:r>
      <w:r w:rsidRPr="00EF7BB1">
        <w:rPr>
          <w:rStyle w:val="sb8d990e2"/>
        </w:rPr>
        <w:t>przeniesiona</w:t>
      </w:r>
      <w:r>
        <w:rPr>
          <w:rStyle w:val="sb8d990e2"/>
        </w:rPr>
        <w:t xml:space="preserve"> przez Sąd Najwyższy do sądów niższej instancji, wątpliwości skarżącej dotyczące niezależności sędziów zajmujących się sprawą, w tym sędziów Sądu Najwyższego, były obiektywnie uzasadnione (zob. paragrafy 13-15 powyżej).</w:t>
      </w:r>
    </w:p>
    <w:p w:rsidR="001C1275" w:rsidRPr="00AA7B00" w:rsidRDefault="001C1275" w:rsidP="008847BC">
      <w:pPr>
        <w:pStyle w:val="ECHRPara"/>
      </w:pPr>
      <w:r w:rsidRPr="005E2BCA">
        <w:rPr>
          <w:lang w:eastAsia="fr-FR"/>
        </w:rPr>
        <w:fldChar w:fldCharType="begin"/>
      </w:r>
      <w:r w:rsidRPr="005E2BCA">
        <w:rPr>
          <w:lang w:eastAsia="fr-FR"/>
        </w:rPr>
        <w:instrText xml:space="preserve"> SEQ level0 \*arabic </w:instrText>
      </w:r>
      <w:r w:rsidRPr="005E2BCA">
        <w:rPr>
          <w:lang w:eastAsia="fr-FR"/>
        </w:rPr>
        <w:fldChar w:fldCharType="separate"/>
      </w:r>
      <w:r w:rsidRPr="005E2BCA">
        <w:rPr>
          <w:noProof/>
          <w:lang w:eastAsia="fr-FR"/>
        </w:rPr>
        <w:t>65</w:t>
      </w:r>
      <w:r w:rsidRPr="005E2BCA">
        <w:rPr>
          <w:lang w:eastAsia="fr-FR"/>
        </w:rPr>
        <w:fldChar w:fldCharType="end"/>
      </w:r>
      <w:r w:rsidRPr="005E2BCA">
        <w:rPr>
          <w:lang w:eastAsia="fr-FR"/>
        </w:rPr>
        <w:t>.  </w:t>
      </w:r>
      <w:r>
        <w:rPr>
          <w:rStyle w:val="sb8d990e2"/>
        </w:rPr>
        <w:t>A zatem, w świetle ustaleń Trybunału dotyczących natury i konsekwencji wadliwości decyzji Sądu Najwyższego z dnia 14 marca 2008 r. (zob. paragrafy 63-64 powyżej), należy stwierdzić, że zaskarżone postępowanie nie spełniało wymogu „rzetelnego procesu" przewidzianego w art. 6 ust. 1 Konwencji, a tym samym naruszyło ten przepis.</w:t>
      </w:r>
    </w:p>
    <w:p w:rsidR="001C1275" w:rsidRPr="004B63BA" w:rsidRDefault="001C1275" w:rsidP="0062363B">
      <w:pPr>
        <w:pStyle w:val="ECHRHeading2"/>
        <w:rPr>
          <w:lang w:val="pl-PL"/>
        </w:rPr>
      </w:pPr>
      <w:r w:rsidRPr="005E2BCA">
        <w:rPr>
          <w:lang w:val="pl-PL"/>
        </w:rPr>
        <w:t>E.  </w:t>
      </w:r>
      <w:r w:rsidRPr="005E2BCA">
        <w:rPr>
          <w:rStyle w:val="s7d2086b4"/>
          <w:lang w:val="pl-PL"/>
        </w:rPr>
        <w:t>Nowa skarga skarżącej w zakresie, w jakim dotyczy ona art. 1 Protokołu nr 1</w:t>
      </w:r>
    </w:p>
    <w:p w:rsidR="001C1275" w:rsidRPr="005E2BCA" w:rsidRDefault="001C1275" w:rsidP="008847BC">
      <w:pPr>
        <w:pStyle w:val="ECHRPara"/>
        <w:rPr>
          <w:lang w:eastAsia="fr-FR"/>
        </w:rPr>
      </w:pPr>
      <w:r w:rsidRPr="005E2BCA">
        <w:rPr>
          <w:lang w:eastAsia="fr-FR"/>
        </w:rPr>
        <w:fldChar w:fldCharType="begin"/>
      </w:r>
      <w:r w:rsidRPr="005E2BCA">
        <w:rPr>
          <w:lang w:eastAsia="fr-FR"/>
        </w:rPr>
        <w:instrText xml:space="preserve"> SEQ level0 \*arabic </w:instrText>
      </w:r>
      <w:r w:rsidRPr="005E2BCA">
        <w:rPr>
          <w:lang w:eastAsia="fr-FR"/>
        </w:rPr>
        <w:fldChar w:fldCharType="separate"/>
      </w:r>
      <w:r w:rsidRPr="005E2BCA">
        <w:rPr>
          <w:noProof/>
          <w:lang w:eastAsia="fr-FR"/>
        </w:rPr>
        <w:t>66</w:t>
      </w:r>
      <w:r w:rsidRPr="005E2BCA">
        <w:rPr>
          <w:lang w:eastAsia="fr-FR"/>
        </w:rPr>
        <w:fldChar w:fldCharType="end"/>
      </w:r>
      <w:r w:rsidRPr="005E2BCA">
        <w:rPr>
          <w:lang w:eastAsia="fr-FR"/>
        </w:rPr>
        <w:t>.  </w:t>
      </w:r>
      <w:r>
        <w:rPr>
          <w:rStyle w:val="sb8d990e2"/>
        </w:rPr>
        <w:t>Skarżąca stwierdziła, że została bezprawnie pozbawiona swojej własności ze względu na postępowanie dotyczące jej odwołania o charakterze wyjątkowym. Oparła się w tym stwierdzeniu na art. 1 Protokołu nr 1.</w:t>
      </w:r>
    </w:p>
    <w:p w:rsidR="001C1275" w:rsidRPr="004B63BA" w:rsidRDefault="001C1275" w:rsidP="00C621C2">
      <w:pPr>
        <w:pStyle w:val="ECHRPara"/>
      </w:pPr>
      <w:fldSimple w:instr=" SEQ level0 \*arabic ">
        <w:r w:rsidRPr="005E2BCA">
          <w:rPr>
            <w:noProof/>
          </w:rPr>
          <w:t>67</w:t>
        </w:r>
      </w:fldSimple>
      <w:r w:rsidRPr="005E2BCA">
        <w:t>.  </w:t>
      </w:r>
      <w:r>
        <w:rPr>
          <w:rStyle w:val="sb8d990e2"/>
        </w:rPr>
        <w:t>Trybunał zauważa, że przedmiotowa skarga powiązana jest ze skargą rozpatrywaną powyżej, w związku z czym musi ona także zostać uznana za dopuszczalną.</w:t>
      </w:r>
    </w:p>
    <w:p w:rsidR="001C1275" w:rsidRPr="004B63BA" w:rsidRDefault="001C1275" w:rsidP="00C621C2">
      <w:pPr>
        <w:pStyle w:val="ECHRPara"/>
      </w:pPr>
      <w:fldSimple w:instr=" SEQ level0 \*arabic ">
        <w:r w:rsidRPr="005E2BCA">
          <w:rPr>
            <w:noProof/>
          </w:rPr>
          <w:t>68</w:t>
        </w:r>
      </w:fldSimple>
      <w:r w:rsidRPr="005E2BCA">
        <w:t>.  </w:t>
      </w:r>
      <w:r>
        <w:rPr>
          <w:rStyle w:val="sb8d990e2"/>
        </w:rPr>
        <w:t>Mając na względzie swoje ustalenia na podstawie art. 6 ust. 1 Konwencji (zob. paragraf 65 powyżej), Trybunał uważa, że nie jest konieczne dokonywanie odrębnej analizy w kwestii tego, czy w niniejszej sprawie doszło do naruszenia art. 1 Protokołu nr 1.</w:t>
      </w:r>
    </w:p>
    <w:p w:rsidR="001C1275" w:rsidRPr="005E2BCA" w:rsidRDefault="001C1275" w:rsidP="00014566">
      <w:pPr>
        <w:pStyle w:val="ECHRHeading1"/>
        <w:rPr>
          <w:lang w:val="pl-PL"/>
        </w:rPr>
      </w:pPr>
      <w:r w:rsidRPr="005E2BCA">
        <w:rPr>
          <w:lang w:val="pl-PL"/>
        </w:rPr>
        <w:t>II.  </w:t>
      </w:r>
      <w:r w:rsidRPr="005E2BCA">
        <w:rPr>
          <w:rStyle w:val="sb8d990e2"/>
          <w:lang w:val="pl-PL"/>
        </w:rPr>
        <w:t>ZASTOSOWANIE ART</w:t>
      </w:r>
      <w:r>
        <w:rPr>
          <w:rStyle w:val="sb8d990e2"/>
          <w:lang w:val="pl-PL"/>
        </w:rPr>
        <w:t>.</w:t>
      </w:r>
      <w:r w:rsidRPr="005E2BCA">
        <w:rPr>
          <w:rStyle w:val="sb8d990e2"/>
          <w:lang w:val="pl-PL"/>
        </w:rPr>
        <w:t xml:space="preserve"> 41 KONWENCJI</w:t>
      </w:r>
    </w:p>
    <w:p w:rsidR="001C1275" w:rsidRPr="00370397" w:rsidRDefault="001C1275" w:rsidP="00C621C2">
      <w:pPr>
        <w:pStyle w:val="ECHRPara"/>
      </w:pPr>
      <w:fldSimple w:instr=" SEQ level0 \*arabic ">
        <w:r w:rsidRPr="005E2BCA">
          <w:rPr>
            <w:noProof/>
          </w:rPr>
          <w:t>69</w:t>
        </w:r>
      </w:fldSimple>
      <w:r w:rsidRPr="005E2BCA">
        <w:t>.  </w:t>
      </w:r>
      <w:r>
        <w:rPr>
          <w:rStyle w:val="sb8d990e2"/>
        </w:rPr>
        <w:t>Art. 41 Konwencji stanowi, co następuje:</w:t>
      </w:r>
    </w:p>
    <w:p w:rsidR="001C1275" w:rsidRPr="00432166" w:rsidRDefault="001C1275" w:rsidP="00115A21">
      <w:pPr>
        <w:pStyle w:val="sbd4b43cb"/>
        <w:spacing w:before="120" w:beforeAutospacing="0" w:after="120" w:afterAutospacing="0"/>
        <w:ind w:left="440" w:firstLine="110"/>
        <w:jc w:val="both"/>
        <w:rPr>
          <w:sz w:val="20"/>
          <w:szCs w:val="20"/>
        </w:rPr>
      </w:pPr>
      <w:r w:rsidRPr="00432166">
        <w:rPr>
          <w:rStyle w:val="sfbbfee58"/>
          <w:sz w:val="20"/>
          <w:szCs w:val="20"/>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1C1275" w:rsidRPr="005E2BCA" w:rsidRDefault="001C1275" w:rsidP="0062363B">
      <w:pPr>
        <w:pStyle w:val="ECHRHeading2"/>
        <w:rPr>
          <w:lang w:val="pl-PL"/>
        </w:rPr>
      </w:pPr>
      <w:r w:rsidRPr="005E2BCA">
        <w:rPr>
          <w:lang w:val="pl-PL"/>
        </w:rPr>
        <w:t>A.  Szkoda</w:t>
      </w:r>
    </w:p>
    <w:p w:rsidR="001C1275" w:rsidRPr="007B28D9" w:rsidRDefault="001C1275" w:rsidP="00C621C2">
      <w:pPr>
        <w:pStyle w:val="ECHRPara"/>
      </w:pPr>
      <w:fldSimple w:instr=" SEQ level0 \*arabic ">
        <w:r w:rsidRPr="005E2BCA">
          <w:rPr>
            <w:noProof/>
          </w:rPr>
          <w:t>70</w:t>
        </w:r>
      </w:fldSimple>
      <w:r w:rsidRPr="005E2BCA">
        <w:t>.  </w:t>
      </w:r>
      <w:r>
        <w:rPr>
          <w:rStyle w:val="sb8d990e2"/>
        </w:rPr>
        <w:t>Skarżąca domagała się kwoty 300 000 euro (EUR) za szkodę poniesioną wskutek domniemanego naruszenia jej praw wynikających z art. 6 Konwencji i art. 1 Protokołu nr 1.</w:t>
      </w:r>
    </w:p>
    <w:p w:rsidR="001C1275" w:rsidRPr="005E2BCA" w:rsidRDefault="001C1275" w:rsidP="008847BC">
      <w:pPr>
        <w:pStyle w:val="ECHRPara"/>
        <w:rPr>
          <w:lang w:eastAsia="fr-FR"/>
        </w:rPr>
      </w:pPr>
      <w:r w:rsidRPr="005E2BCA">
        <w:rPr>
          <w:lang w:eastAsia="fr-FR"/>
        </w:rPr>
        <w:fldChar w:fldCharType="begin"/>
      </w:r>
      <w:r w:rsidRPr="005E2BCA">
        <w:rPr>
          <w:lang w:eastAsia="fr-FR"/>
        </w:rPr>
        <w:instrText xml:space="preserve"> SEQ level0 \*arabic </w:instrText>
      </w:r>
      <w:r w:rsidRPr="005E2BCA">
        <w:rPr>
          <w:lang w:eastAsia="fr-FR"/>
        </w:rPr>
        <w:fldChar w:fldCharType="separate"/>
      </w:r>
      <w:r w:rsidRPr="005E2BCA">
        <w:rPr>
          <w:noProof/>
          <w:lang w:eastAsia="fr-FR"/>
        </w:rPr>
        <w:t>71</w:t>
      </w:r>
      <w:r w:rsidRPr="005E2BCA">
        <w:rPr>
          <w:lang w:eastAsia="fr-FR"/>
        </w:rPr>
        <w:fldChar w:fldCharType="end"/>
      </w:r>
      <w:r w:rsidRPr="005E2BCA">
        <w:rPr>
          <w:lang w:eastAsia="fr-FR"/>
        </w:rPr>
        <w:t>.  </w:t>
      </w:r>
      <w:r>
        <w:rPr>
          <w:rStyle w:val="sb8d990e2"/>
        </w:rPr>
        <w:t>Rząd argumentował, że skarżąca nie określiła natury szkody, którą rzekomo poniosła za sprawą decyzji Sądu Najwyższego w swojej sprawie i nie dostarczyła żadnych dowodów na poparcie swojego roszczenia. W związku z powyższym roszczenie należało oddalić w całości.</w:t>
      </w:r>
    </w:p>
    <w:p w:rsidR="001C1275" w:rsidRPr="007B28D9" w:rsidRDefault="001C1275" w:rsidP="008847BC">
      <w:pPr>
        <w:pStyle w:val="ECHRPara"/>
        <w:rPr>
          <w:lang w:eastAsia="fr-FR"/>
        </w:rPr>
      </w:pPr>
      <w:r w:rsidRPr="005E2BCA">
        <w:rPr>
          <w:lang w:eastAsia="fr-FR"/>
        </w:rPr>
        <w:fldChar w:fldCharType="begin"/>
      </w:r>
      <w:r w:rsidRPr="005E2BCA">
        <w:rPr>
          <w:lang w:eastAsia="fr-FR"/>
        </w:rPr>
        <w:instrText xml:space="preserve"> SEQ level0 \*arabic </w:instrText>
      </w:r>
      <w:r w:rsidRPr="005E2BCA">
        <w:rPr>
          <w:lang w:eastAsia="fr-FR"/>
        </w:rPr>
        <w:fldChar w:fldCharType="separate"/>
      </w:r>
      <w:r w:rsidRPr="005E2BCA">
        <w:rPr>
          <w:noProof/>
          <w:lang w:eastAsia="fr-FR"/>
        </w:rPr>
        <w:t>72</w:t>
      </w:r>
      <w:r w:rsidRPr="005E2BCA">
        <w:rPr>
          <w:lang w:eastAsia="fr-FR"/>
        </w:rPr>
        <w:fldChar w:fldCharType="end"/>
      </w:r>
      <w:r w:rsidRPr="005E2BCA">
        <w:rPr>
          <w:lang w:eastAsia="fr-FR"/>
        </w:rPr>
        <w:t>.  </w:t>
      </w:r>
      <w:r>
        <w:rPr>
          <w:rStyle w:val="sb8d990e2"/>
        </w:rPr>
        <w:t xml:space="preserve">Trybunał zauważa, że skarżąca nie przedstawiła żadnych szczegółowych informacji na temat natury zarzucanej szkody ani jej dotkliwości. Niemniej Trybunał uważa, że skarżąca musiała doświadczać cierpienia i niepokoju ze względu na „nierzetelny" sposób, w jaki Sąd Najwyższy zajął się jej odwołaniem o charakterze wyjątkowym, co w konsekwencji udaremniło jej próby zmierzające do uzyskania rozpatrzenia jej roszczenia majątkowego w świetle wyroku Trybunału w jej poprzedniej sprawie w ramach procedury podobnej do kasacyjnej, przewidzianej w prawie krajowym (zob. paragraf 64 powyżej). Trybunał nie uważa za właściwe badać, czy jakiekolwiek dalsze rozpatrzenie roszczenia majątkowego skarżącej na szczeblu krajowym jest w tych okolicznościach wykonalne, ze względu – w szczególności – na znaczący okres, jaki upłynął w międzyczasie oraz możliwe konsekwencje takiego ponownego rozpatrzenia w kontekście zasad </w:t>
      </w:r>
      <w:r>
        <w:rPr>
          <w:rStyle w:val="s6b621b36"/>
          <w:i/>
          <w:iCs/>
        </w:rPr>
        <w:t>res iudicata</w:t>
      </w:r>
      <w:r>
        <w:rPr>
          <w:rStyle w:val="sb8d990e2"/>
        </w:rPr>
        <w:t xml:space="preserve"> i pewności prawnej w zakończonym postępowaniu cywilnym, jak i w kontekście uzasadnionych interesów stron trzecich. Z drugiej strony w rzeczywistości należy uznać, na potrzeby oceny Trybunału na podstawie art. 41, iż skarżąca nie ma obecnie dostępnej praktycznej możliwości uzyskania naprawienia naruszenia stwierdzonego w jej sprawie na szczeblu krajowym. A zatem, dokonując oceny w oparciu o zasadę słuszności, Trybunał uznaje za uzasadnione przyznanie skarżącej kwoty 10 000 EUR za szkody niematerialne, powiększonej o wszelkie kwoty należne tytułem opodatkowania.</w:t>
      </w:r>
    </w:p>
    <w:p w:rsidR="001C1275" w:rsidRPr="005E2BCA" w:rsidRDefault="001C1275" w:rsidP="008F109B">
      <w:pPr>
        <w:pStyle w:val="ECHRHeading2"/>
        <w:rPr>
          <w:lang w:val="pl-PL"/>
        </w:rPr>
      </w:pPr>
      <w:r w:rsidRPr="005E2BCA">
        <w:rPr>
          <w:lang w:val="pl-PL"/>
        </w:rPr>
        <w:t>B.  </w:t>
      </w:r>
      <w:r w:rsidRPr="005E2BCA">
        <w:rPr>
          <w:rStyle w:val="s7d2086b4"/>
          <w:lang w:val="pl-PL"/>
        </w:rPr>
        <w:t>Koszty i wydatki</w:t>
      </w:r>
    </w:p>
    <w:p w:rsidR="001C1275" w:rsidRPr="007B28D9" w:rsidRDefault="001C1275" w:rsidP="008F109B">
      <w:pPr>
        <w:pStyle w:val="ECHRPara"/>
      </w:pPr>
      <w:fldSimple w:instr=" SEQ level0 \*arabic ">
        <w:r w:rsidRPr="005E2BCA">
          <w:rPr>
            <w:noProof/>
          </w:rPr>
          <w:t>73</w:t>
        </w:r>
      </w:fldSimple>
      <w:r w:rsidRPr="005E2BCA">
        <w:t>.  </w:t>
      </w:r>
      <w:r>
        <w:rPr>
          <w:rStyle w:val="sb8d990e2"/>
        </w:rPr>
        <w:t>Skarżąca nie wniosła żądania z tytułu kosztów i wydatków.</w:t>
      </w:r>
    </w:p>
    <w:p w:rsidR="001C1275" w:rsidRPr="005E2BCA" w:rsidRDefault="001C1275" w:rsidP="008F109B">
      <w:pPr>
        <w:pStyle w:val="ECHRHeading2"/>
        <w:rPr>
          <w:lang w:val="pl-PL"/>
        </w:rPr>
      </w:pPr>
      <w:r w:rsidRPr="005E2BCA">
        <w:rPr>
          <w:lang w:val="pl-PL"/>
        </w:rPr>
        <w:t>C.  Odsetki za zwłokę</w:t>
      </w:r>
    </w:p>
    <w:p w:rsidR="001C1275" w:rsidRPr="007B28D9" w:rsidRDefault="001C1275" w:rsidP="00C621C2">
      <w:pPr>
        <w:pStyle w:val="ECHRPara"/>
      </w:pPr>
      <w:fldSimple w:instr=" SEQ level0 \*arabic ">
        <w:r w:rsidRPr="005E2BCA">
          <w:rPr>
            <w:noProof/>
          </w:rPr>
          <w:t>74</w:t>
        </w:r>
      </w:fldSimple>
      <w:r w:rsidRPr="005E2BCA">
        <w:t>.  </w:t>
      </w:r>
      <w:r>
        <w:rPr>
          <w:rStyle w:val="sb8d990e2"/>
        </w:rPr>
        <w:t>Trybunał za słuszne uznaje wyznaczenie wysokości odsetek za zwłokę na podstawie marginalnej stopy procentowej Europejskiego Banku Centralnego powiększonej o trzy punkty procentowe.</w:t>
      </w:r>
    </w:p>
    <w:p w:rsidR="001C1275" w:rsidRPr="00CB427F" w:rsidRDefault="001C1275" w:rsidP="00BC21F7">
      <w:pPr>
        <w:pStyle w:val="s30ccf494"/>
        <w:jc w:val="both"/>
        <w:rPr>
          <w:sz w:val="28"/>
          <w:szCs w:val="28"/>
        </w:rPr>
      </w:pPr>
      <w:r w:rsidRPr="00CB427F">
        <w:rPr>
          <w:rStyle w:val="s32a37344"/>
          <w:sz w:val="28"/>
          <w:szCs w:val="28"/>
        </w:rPr>
        <w:t>W ZWIĄZKU Z POWYŻSZYM TRYBUNAŁ JEDNOMYŚLNIE</w:t>
      </w:r>
    </w:p>
    <w:p w:rsidR="001C1275" w:rsidRPr="00115A21" w:rsidRDefault="001C1275" w:rsidP="000D4EE2">
      <w:pPr>
        <w:pStyle w:val="JuList"/>
        <w:rPr>
          <w:rStyle w:val="sb8d990e2"/>
          <w:lang w:val="pl-PL"/>
        </w:rPr>
      </w:pPr>
      <w:r w:rsidRPr="005E2BCA">
        <w:rPr>
          <w:lang w:val="pl-PL"/>
        </w:rPr>
        <w:t>1.  </w:t>
      </w:r>
      <w:r w:rsidRPr="00026C82">
        <w:rPr>
          <w:i/>
          <w:iCs/>
          <w:lang w:val="pl-PL"/>
        </w:rPr>
        <w:t>Uznaje</w:t>
      </w:r>
      <w:r>
        <w:rPr>
          <w:lang w:val="pl-PL"/>
        </w:rPr>
        <w:t xml:space="preserve">, że </w:t>
      </w:r>
      <w:r w:rsidRPr="005E2BCA">
        <w:rPr>
          <w:rStyle w:val="sb8d990e2"/>
          <w:lang w:val="pl-PL"/>
        </w:rPr>
        <w:t xml:space="preserve">skarga skarżącej na podstawie art. 6 </w:t>
      </w:r>
      <w:r w:rsidRPr="00847284">
        <w:rPr>
          <w:rStyle w:val="sb8d990e2"/>
          <w:lang w:val="pl-PL"/>
        </w:rPr>
        <w:t xml:space="preserve">ust. </w:t>
      </w:r>
      <w:r w:rsidRPr="005E2BCA">
        <w:rPr>
          <w:rStyle w:val="sb8d990e2"/>
          <w:lang w:val="pl-PL"/>
        </w:rPr>
        <w:t xml:space="preserve">1 Konwencji, dotycząca nierzetelności postępowania zakończonego decyzją Sądu Najwyższego z dnia 14 marca 2008 r. oraz jej skarga na podstawie </w:t>
      </w:r>
      <w:r>
        <w:rPr>
          <w:rStyle w:val="sb8d990e2"/>
          <w:lang w:val="pl-PL"/>
        </w:rPr>
        <w:t>art. 1 Protokołu nr 1 Konwencji</w:t>
      </w:r>
      <w:r w:rsidRPr="005E2BCA">
        <w:rPr>
          <w:rStyle w:val="sb8d990e2"/>
          <w:lang w:val="pl-PL"/>
        </w:rPr>
        <w:t xml:space="preserve"> dotycząca </w:t>
      </w:r>
      <w:r>
        <w:rPr>
          <w:rStyle w:val="sb8d990e2"/>
          <w:lang w:val="pl-PL"/>
        </w:rPr>
        <w:t>zarzutu</w:t>
      </w:r>
      <w:r w:rsidRPr="005E2BCA">
        <w:rPr>
          <w:rStyle w:val="sb8d990e2"/>
          <w:lang w:val="pl-PL"/>
        </w:rPr>
        <w:t>, że została bezprawnie pozbawiona swoje</w:t>
      </w:r>
      <w:r>
        <w:rPr>
          <w:rStyle w:val="sb8d990e2"/>
          <w:lang w:val="pl-PL"/>
        </w:rPr>
        <w:t>j własności</w:t>
      </w:r>
      <w:r w:rsidRPr="005E2BCA">
        <w:rPr>
          <w:rStyle w:val="sb8d990e2"/>
          <w:lang w:val="pl-PL"/>
        </w:rPr>
        <w:t xml:space="preserve"> ze względu na to postępowanie, jest dopuszczalna, oraz że pozostała cześć skargi jest niedopuszczalna;</w:t>
      </w:r>
    </w:p>
    <w:p w:rsidR="001C1275" w:rsidRPr="005E2BCA" w:rsidRDefault="001C1275" w:rsidP="000D4EE2">
      <w:pPr>
        <w:pStyle w:val="JuList"/>
        <w:rPr>
          <w:lang w:val="pl-PL"/>
        </w:rPr>
      </w:pPr>
    </w:p>
    <w:p w:rsidR="001C1275" w:rsidRPr="00115A21" w:rsidRDefault="001C1275" w:rsidP="00751225">
      <w:pPr>
        <w:pStyle w:val="JuList"/>
        <w:rPr>
          <w:rStyle w:val="sb8d990e2"/>
          <w:lang w:val="pl-PL"/>
        </w:rPr>
      </w:pPr>
      <w:r w:rsidRPr="005E2BCA">
        <w:rPr>
          <w:lang w:val="pl-PL"/>
        </w:rPr>
        <w:t>2.  </w:t>
      </w:r>
      <w:r w:rsidRPr="00751225">
        <w:rPr>
          <w:i/>
          <w:iCs/>
          <w:lang w:val="pl-PL"/>
        </w:rPr>
        <w:t>Orzeka, że</w:t>
      </w:r>
      <w:r w:rsidRPr="00751225">
        <w:rPr>
          <w:lang w:val="pl-PL"/>
        </w:rPr>
        <w:t xml:space="preserve"> </w:t>
      </w:r>
      <w:r w:rsidRPr="005E2BCA">
        <w:rPr>
          <w:rStyle w:val="sb8d990e2"/>
          <w:lang w:val="pl-PL"/>
        </w:rPr>
        <w:t xml:space="preserve">doszło do naruszenia art. 6 </w:t>
      </w:r>
      <w:r w:rsidRPr="00847284">
        <w:rPr>
          <w:rStyle w:val="sb8d990e2"/>
          <w:lang w:val="pl-PL"/>
        </w:rPr>
        <w:t xml:space="preserve">ust. </w:t>
      </w:r>
      <w:r w:rsidRPr="005E2BCA">
        <w:rPr>
          <w:rStyle w:val="sb8d990e2"/>
          <w:lang w:val="pl-PL"/>
        </w:rPr>
        <w:t>1 Konwencji;</w:t>
      </w:r>
    </w:p>
    <w:p w:rsidR="001C1275" w:rsidRPr="00751225" w:rsidRDefault="001C1275" w:rsidP="00751225">
      <w:pPr>
        <w:pStyle w:val="JuList"/>
        <w:rPr>
          <w:lang w:val="pl-PL"/>
        </w:rPr>
      </w:pPr>
    </w:p>
    <w:p w:rsidR="001C1275" w:rsidRPr="00115A21" w:rsidRDefault="001C1275" w:rsidP="00115A21">
      <w:pPr>
        <w:pStyle w:val="JuList"/>
        <w:rPr>
          <w:rStyle w:val="sb8d990e2"/>
          <w:lang w:val="pl-PL"/>
        </w:rPr>
      </w:pPr>
      <w:r w:rsidRPr="00115A21">
        <w:rPr>
          <w:lang w:val="pl-PL"/>
        </w:rPr>
        <w:t>3.  </w:t>
      </w:r>
      <w:r w:rsidRPr="00115A21">
        <w:rPr>
          <w:i/>
          <w:iCs/>
          <w:lang w:val="pl-PL"/>
        </w:rPr>
        <w:t xml:space="preserve">Orzeka, </w:t>
      </w:r>
      <w:r w:rsidRPr="00115A21">
        <w:rPr>
          <w:lang w:val="pl-PL"/>
        </w:rPr>
        <w:t xml:space="preserve">że </w:t>
      </w:r>
      <w:r w:rsidRPr="00115A21">
        <w:rPr>
          <w:rStyle w:val="sb8d990e2"/>
          <w:lang w:val="pl-PL"/>
        </w:rPr>
        <w:t>nie ma potrzeby rozpatrywania skargi na podstawie art. 1 Protokołu nr 1 Konwencji;</w:t>
      </w:r>
    </w:p>
    <w:p w:rsidR="001C1275" w:rsidRPr="00751225" w:rsidRDefault="001C1275" w:rsidP="000D4EE2">
      <w:pPr>
        <w:pStyle w:val="s52b9fb1c"/>
        <w:spacing w:before="0" w:beforeAutospacing="0" w:after="0" w:afterAutospacing="0"/>
        <w:jc w:val="both"/>
      </w:pPr>
    </w:p>
    <w:p w:rsidR="001C1275" w:rsidRPr="00751225" w:rsidRDefault="001C1275" w:rsidP="000D4EE2">
      <w:pPr>
        <w:pStyle w:val="JuList"/>
        <w:rPr>
          <w:lang w:val="pl-PL"/>
        </w:rPr>
      </w:pPr>
      <w:r w:rsidRPr="00751225">
        <w:rPr>
          <w:lang w:val="pl-PL"/>
        </w:rPr>
        <w:t>4.  </w:t>
      </w:r>
      <w:r w:rsidRPr="00751225">
        <w:rPr>
          <w:i/>
          <w:iCs/>
          <w:lang w:val="pl-PL"/>
        </w:rPr>
        <w:t>Orzeka</w:t>
      </w:r>
      <w:r>
        <w:rPr>
          <w:i/>
          <w:iCs/>
          <w:lang w:val="pl-PL"/>
        </w:rPr>
        <w:t>,</w:t>
      </w:r>
    </w:p>
    <w:p w:rsidR="001C1275" w:rsidRPr="00751225" w:rsidRDefault="001C1275" w:rsidP="000D4EE2">
      <w:pPr>
        <w:pStyle w:val="JuLista"/>
        <w:rPr>
          <w:lang w:val="pl-PL"/>
        </w:rPr>
      </w:pPr>
      <w:r w:rsidRPr="00751225">
        <w:rPr>
          <w:lang w:val="pl-PL"/>
        </w:rPr>
        <w:t>(a)  </w:t>
      </w:r>
      <w:r>
        <w:rPr>
          <w:lang w:val="pl-PL"/>
        </w:rPr>
        <w:t xml:space="preserve">że </w:t>
      </w:r>
      <w:r w:rsidRPr="005E2BCA">
        <w:rPr>
          <w:rStyle w:val="sb8d990e2"/>
          <w:lang w:val="pl-PL"/>
        </w:rPr>
        <w:t>pozwane Państwo ma wypłacić skarżącej w ciągu trzech miesięcy kwotę 10 000 EUR (dziesięciu tysięcy euro), powiększoną o wszelkie kwoty należne tytułem opodatkowania, z tytułu zadośćuczynienia za szkody niemajątkowe, która będzie przeliczona na walutę pozwanego Państwa według kursu obowiązującego w dacie wypłaty;</w:t>
      </w:r>
    </w:p>
    <w:p w:rsidR="001C1275" w:rsidRPr="00115A21" w:rsidRDefault="001C1275" w:rsidP="000D4EE2">
      <w:pPr>
        <w:pStyle w:val="JuLista"/>
        <w:rPr>
          <w:rStyle w:val="sb8d990e2"/>
          <w:lang w:val="pl-PL"/>
        </w:rPr>
      </w:pPr>
      <w:r w:rsidRPr="00751225">
        <w:rPr>
          <w:lang w:val="pl-PL"/>
        </w:rPr>
        <w:t>(b)  </w:t>
      </w:r>
      <w:r w:rsidRPr="005E2BCA">
        <w:rPr>
          <w:rStyle w:val="sb8d990e2"/>
          <w:lang w:val="pl-PL"/>
        </w:rPr>
        <w:t>że od momentu upływu wyżej wskazanego terminu trzech miesięcy aż do momentu uregulowania należności należne będą odsetki zwykłe od określonej powyżej kwoty, naliczone według stopy równej marginalnej stopie procentowej Europejskiego Banku Centralnego obowiązującej w tym okresie, powiększonej o trzy punkty procentowe;</w:t>
      </w:r>
    </w:p>
    <w:p w:rsidR="001C1275" w:rsidRPr="00751225" w:rsidRDefault="001C1275" w:rsidP="000D4EE2">
      <w:pPr>
        <w:pStyle w:val="JuLista"/>
        <w:rPr>
          <w:lang w:val="pl-PL"/>
        </w:rPr>
      </w:pPr>
    </w:p>
    <w:p w:rsidR="001C1275" w:rsidRPr="00751225" w:rsidRDefault="001C1275" w:rsidP="00C621C2">
      <w:pPr>
        <w:pStyle w:val="JuList"/>
        <w:rPr>
          <w:lang w:val="pl-PL"/>
        </w:rPr>
      </w:pPr>
      <w:r w:rsidRPr="005E2BCA">
        <w:rPr>
          <w:lang w:val="pl-PL"/>
        </w:rPr>
        <w:t>5.  </w:t>
      </w:r>
      <w:r w:rsidRPr="00C6720C">
        <w:rPr>
          <w:i/>
          <w:iCs/>
          <w:lang w:val="pl-PL"/>
        </w:rPr>
        <w:t>Oddala</w:t>
      </w:r>
      <w:r w:rsidRPr="00C6720C">
        <w:rPr>
          <w:lang w:val="pl-PL"/>
        </w:rPr>
        <w:t xml:space="preserve"> jednomyślnie pozostałą część roszczenia skarżącej w zakresie słusznego zadośćuczynienia.</w:t>
      </w:r>
    </w:p>
    <w:p w:rsidR="001C1275" w:rsidRPr="000D4EE2" w:rsidRDefault="001C1275" w:rsidP="000D4EE2">
      <w:pPr>
        <w:pStyle w:val="sfa83d483"/>
        <w:ind w:firstLine="330"/>
        <w:jc w:val="both"/>
      </w:pPr>
      <w:r>
        <w:rPr>
          <w:rStyle w:val="sb8d990e2"/>
        </w:rPr>
        <w:t>Sporządzono w języku angielskim i francuskim i złożono na piśmie 5 lutego 2015 r., zgodnie z art. 77 §§ 2 i 3 Regulaminu Trybunału.</w:t>
      </w:r>
    </w:p>
    <w:p w:rsidR="001C1275" w:rsidRPr="00D27AC5" w:rsidRDefault="001C1275" w:rsidP="000D4EE2">
      <w:pPr>
        <w:pStyle w:val="JuSigned"/>
        <w:spacing w:before="360"/>
        <w:rPr>
          <w:lang w:val="pl-PL"/>
        </w:rPr>
      </w:pPr>
      <w:r w:rsidRPr="004A22E2">
        <w:rPr>
          <w:lang w:val="pl-PL"/>
        </w:rPr>
        <w:tab/>
      </w:r>
      <w:r w:rsidRPr="00D27AC5">
        <w:rPr>
          <w:lang w:val="pl-PL"/>
        </w:rPr>
        <w:t>Lawrence Early</w:t>
      </w:r>
      <w:r w:rsidRPr="00D27AC5">
        <w:rPr>
          <w:lang w:val="pl-PL"/>
        </w:rPr>
        <w:tab/>
        <w:t>Dean Spielmann</w:t>
      </w:r>
      <w:r w:rsidRPr="00D27AC5">
        <w:rPr>
          <w:lang w:val="pl-PL"/>
        </w:rPr>
        <w:br/>
      </w:r>
      <w:r w:rsidRPr="00D27AC5">
        <w:rPr>
          <w:lang w:val="pl-PL"/>
        </w:rPr>
        <w:tab/>
        <w:t>Doradca prawny</w:t>
      </w:r>
      <w:r w:rsidRPr="00D27AC5">
        <w:rPr>
          <w:lang w:val="pl-PL"/>
        </w:rPr>
        <w:tab/>
        <w:t>Przewodniczący</w:t>
      </w:r>
    </w:p>
    <w:p w:rsidR="001C1275" w:rsidRPr="004202EF" w:rsidRDefault="001C1275" w:rsidP="001B4C2E">
      <w:pPr>
        <w:pStyle w:val="JuParaLast"/>
        <w:rPr>
          <w:lang w:val="pl-PL"/>
        </w:rPr>
      </w:pPr>
      <w:r w:rsidRPr="00C6720C">
        <w:rPr>
          <w:lang w:val="pl-PL"/>
        </w:rPr>
        <w:t xml:space="preserve">Zgodnie z </w:t>
      </w:r>
      <w:r>
        <w:rPr>
          <w:lang w:val="pl-PL"/>
        </w:rPr>
        <w:t xml:space="preserve">art. </w:t>
      </w:r>
      <w:r w:rsidRPr="00C6720C">
        <w:rPr>
          <w:lang w:val="pl-PL"/>
        </w:rPr>
        <w:t xml:space="preserve">45 </w:t>
      </w:r>
      <w:r w:rsidRPr="00847284">
        <w:rPr>
          <w:rStyle w:val="sb8d990e2"/>
          <w:lang w:val="pl-PL"/>
        </w:rPr>
        <w:t>ust.</w:t>
      </w:r>
      <w:r w:rsidRPr="00115A21">
        <w:rPr>
          <w:rStyle w:val="sb8d990e2"/>
          <w:lang w:val="pl-PL"/>
        </w:rPr>
        <w:t xml:space="preserve"> </w:t>
      </w:r>
      <w:r w:rsidRPr="00C6720C">
        <w:rPr>
          <w:lang w:val="pl-PL"/>
        </w:rPr>
        <w:t>2 Konwencji oraz art. 74 § 2 Regulaminu Trybunału</w:t>
      </w:r>
      <w:r>
        <w:rPr>
          <w:lang w:val="pl-PL"/>
        </w:rPr>
        <w:t xml:space="preserve"> do niniejszego wyroku</w:t>
      </w:r>
      <w:r w:rsidRPr="004202EF">
        <w:rPr>
          <w:lang w:val="pl-PL"/>
        </w:rPr>
        <w:t xml:space="preserve"> </w:t>
      </w:r>
      <w:r>
        <w:rPr>
          <w:lang w:val="pl-PL"/>
        </w:rPr>
        <w:t>załączone zostają następujące opinie odrębne</w:t>
      </w:r>
      <w:r w:rsidRPr="004202EF">
        <w:rPr>
          <w:lang w:val="pl-PL"/>
        </w:rPr>
        <w:t>:</w:t>
      </w:r>
    </w:p>
    <w:p w:rsidR="001C1275" w:rsidRPr="00A73F15" w:rsidRDefault="001C1275" w:rsidP="002D43EA">
      <w:pPr>
        <w:pStyle w:val="ECHRPara"/>
        <w:rPr>
          <w:lang w:eastAsia="fr-FR"/>
        </w:rPr>
      </w:pPr>
      <w:r>
        <w:rPr>
          <w:lang w:eastAsia="fr-FR"/>
        </w:rPr>
        <w:t>(a)  wspólna</w:t>
      </w:r>
      <w:r w:rsidRPr="00A73F15">
        <w:rPr>
          <w:lang w:eastAsia="fr-FR"/>
        </w:rPr>
        <w:t xml:space="preserve"> </w:t>
      </w:r>
      <w:r>
        <w:rPr>
          <w:lang w:eastAsia="fr-FR"/>
        </w:rPr>
        <w:t>zgodna opinia odrębna</w:t>
      </w:r>
      <w:r w:rsidRPr="00A73F15">
        <w:rPr>
          <w:lang w:eastAsia="fr-FR"/>
        </w:rPr>
        <w:t xml:space="preserve"> sędziów Yudkivskiej </w:t>
      </w:r>
      <w:r>
        <w:rPr>
          <w:lang w:eastAsia="fr-FR"/>
        </w:rPr>
        <w:t>i</w:t>
      </w:r>
      <w:r w:rsidRPr="00A73F15">
        <w:rPr>
          <w:lang w:eastAsia="fr-FR"/>
        </w:rPr>
        <w:t xml:space="preserve"> Lemmens</w:t>
      </w:r>
      <w:r>
        <w:rPr>
          <w:lang w:eastAsia="fr-FR"/>
        </w:rPr>
        <w:t>a</w:t>
      </w:r>
      <w:r w:rsidRPr="00A73F15">
        <w:rPr>
          <w:lang w:eastAsia="fr-FR"/>
        </w:rPr>
        <w:t>;</w:t>
      </w:r>
    </w:p>
    <w:p w:rsidR="001C1275" w:rsidRPr="00A73F15" w:rsidRDefault="001C1275" w:rsidP="002D43EA">
      <w:pPr>
        <w:pStyle w:val="ECHRPara"/>
        <w:rPr>
          <w:lang w:eastAsia="fr-FR"/>
        </w:rPr>
      </w:pPr>
      <w:r w:rsidRPr="00A73F15">
        <w:rPr>
          <w:lang w:eastAsia="fr-FR"/>
        </w:rPr>
        <w:t>(b)  </w:t>
      </w:r>
      <w:r>
        <w:rPr>
          <w:lang w:eastAsia="fr-FR"/>
        </w:rPr>
        <w:t>zgodna opinia odrębna</w:t>
      </w:r>
      <w:r w:rsidRPr="00A73F15">
        <w:rPr>
          <w:lang w:eastAsia="fr-FR"/>
        </w:rPr>
        <w:t xml:space="preserve"> </w:t>
      </w:r>
      <w:r>
        <w:rPr>
          <w:lang w:eastAsia="fr-FR"/>
        </w:rPr>
        <w:t>sędziego</w:t>
      </w:r>
      <w:r w:rsidRPr="00A73F15">
        <w:rPr>
          <w:lang w:eastAsia="fr-FR"/>
        </w:rPr>
        <w:t xml:space="preserve"> Wojtycz</w:t>
      </w:r>
      <w:r>
        <w:rPr>
          <w:lang w:eastAsia="fr-FR"/>
        </w:rPr>
        <w:t>ka</w:t>
      </w:r>
      <w:r w:rsidRPr="00A73F15">
        <w:rPr>
          <w:lang w:eastAsia="fr-FR"/>
        </w:rPr>
        <w:t>.</w:t>
      </w:r>
    </w:p>
    <w:p w:rsidR="001C1275" w:rsidRPr="005E2BCA" w:rsidRDefault="001C1275" w:rsidP="002D43EA">
      <w:pPr>
        <w:pStyle w:val="JuInitialled"/>
        <w:rPr>
          <w:lang w:val="pl-PL"/>
        </w:rPr>
      </w:pPr>
      <w:r w:rsidRPr="005E2BCA">
        <w:rPr>
          <w:lang w:val="pl-PL"/>
        </w:rPr>
        <w:t>D.S.</w:t>
      </w:r>
      <w:r w:rsidRPr="005E2BCA">
        <w:rPr>
          <w:lang w:val="pl-PL"/>
        </w:rPr>
        <w:br/>
        <w:t>T.L.E.</w:t>
      </w:r>
    </w:p>
    <w:p w:rsidR="001C1275" w:rsidRPr="005E2BCA" w:rsidRDefault="001C1275" w:rsidP="008847BC">
      <w:pPr>
        <w:pStyle w:val="ECHRPara"/>
        <w:rPr>
          <w:lang w:eastAsia="fr-FR"/>
        </w:rPr>
        <w:sectPr w:rsidR="001C1275" w:rsidRPr="005E2BCA" w:rsidSect="008174E8">
          <w:headerReference w:type="even" r:id="rId11"/>
          <w:footnotePr>
            <w:numRestart w:val="eachPage"/>
          </w:footnotePr>
          <w:pgSz w:w="11906" w:h="16838" w:code="9"/>
          <w:pgMar w:top="2274" w:right="2274" w:bottom="2274" w:left="2274" w:header="1701" w:footer="708" w:gutter="0"/>
          <w:pgNumType w:start="1"/>
          <w:cols w:space="708"/>
          <w:docGrid w:linePitch="326"/>
        </w:sectPr>
      </w:pPr>
    </w:p>
    <w:p w:rsidR="001C1275" w:rsidRPr="005E2BCA" w:rsidRDefault="001C1275" w:rsidP="008847BC">
      <w:pPr>
        <w:pStyle w:val="OpiPara"/>
        <w:rPr>
          <w:lang w:eastAsia="fr-FR"/>
        </w:rPr>
      </w:pPr>
    </w:p>
    <w:p w:rsidR="001C1275" w:rsidRPr="007B6EEC" w:rsidRDefault="001C1275" w:rsidP="007B6EEC">
      <w:pPr>
        <w:pStyle w:val="s30eec3f8"/>
        <w:jc w:val="center"/>
        <w:rPr>
          <w:sz w:val="28"/>
          <w:szCs w:val="28"/>
        </w:rPr>
      </w:pPr>
      <w:r w:rsidRPr="007B6EEC">
        <w:rPr>
          <w:rStyle w:val="s32a37344"/>
          <w:sz w:val="28"/>
          <w:szCs w:val="28"/>
        </w:rPr>
        <w:t xml:space="preserve">WSPÓLNA ZGODNA OPINIA </w:t>
      </w:r>
      <w:r>
        <w:rPr>
          <w:rStyle w:val="s32a37344"/>
          <w:sz w:val="28"/>
          <w:szCs w:val="28"/>
        </w:rPr>
        <w:t>ODRĘBNA</w:t>
      </w:r>
      <w:r>
        <w:rPr>
          <w:rStyle w:val="s32a37344"/>
          <w:sz w:val="28"/>
          <w:szCs w:val="28"/>
        </w:rPr>
        <w:br/>
      </w:r>
      <w:r w:rsidRPr="007B6EEC">
        <w:rPr>
          <w:rStyle w:val="s32a37344"/>
          <w:sz w:val="28"/>
          <w:szCs w:val="28"/>
        </w:rPr>
        <w:t>SĘDZIÓW YUDKIVSK</w:t>
      </w:r>
      <w:r>
        <w:rPr>
          <w:rStyle w:val="s32a37344"/>
          <w:sz w:val="28"/>
          <w:szCs w:val="28"/>
        </w:rPr>
        <w:t>IEJ</w:t>
      </w:r>
      <w:r w:rsidRPr="007B6EEC">
        <w:rPr>
          <w:rStyle w:val="s32a37344"/>
          <w:sz w:val="28"/>
          <w:szCs w:val="28"/>
        </w:rPr>
        <w:t xml:space="preserve"> I LEMMENS</w:t>
      </w:r>
      <w:r>
        <w:rPr>
          <w:rStyle w:val="s32a37344"/>
          <w:sz w:val="28"/>
          <w:szCs w:val="28"/>
        </w:rPr>
        <w:t>A</w:t>
      </w:r>
    </w:p>
    <w:p w:rsidR="001C1275" w:rsidRDefault="001C1275" w:rsidP="007B6EEC">
      <w:pPr>
        <w:pStyle w:val="s30eec3f8"/>
        <w:spacing w:after="0" w:afterAutospacing="0"/>
        <w:ind w:firstLine="329"/>
        <w:jc w:val="both"/>
      </w:pPr>
      <w:r w:rsidRPr="007B6EEC">
        <w:t>1.  </w:t>
      </w:r>
      <w:r>
        <w:rPr>
          <w:rStyle w:val="sb8d990e2"/>
        </w:rPr>
        <w:t>Z pełnym przekonaniem przychylamy się do wniosku, że art. 6 ust. 1 został naruszony.</w:t>
      </w:r>
    </w:p>
    <w:p w:rsidR="001C1275" w:rsidRPr="007B6EEC" w:rsidRDefault="001C1275" w:rsidP="007B6EEC">
      <w:pPr>
        <w:pStyle w:val="s30eec3f8"/>
        <w:spacing w:before="0" w:beforeAutospacing="0" w:after="0" w:afterAutospacing="0"/>
        <w:ind w:firstLine="329"/>
        <w:jc w:val="both"/>
      </w:pPr>
      <w:r>
        <w:rPr>
          <w:rStyle w:val="sb8d990e2"/>
        </w:rPr>
        <w:t>W tym zakresie wyrok stanowi ważny krok naprzód w zakresie ochrony oferowanej przez Konwencję skarżącym, którzy z powodzeniem wnieśli skargi dotyczące naruszenia ich praw podstawowych, a następnie starali się uzyskać wznowienie postępowania krajowego.</w:t>
      </w:r>
    </w:p>
    <w:p w:rsidR="001C1275" w:rsidRPr="003A6B99" w:rsidRDefault="001C1275" w:rsidP="000E1CF6">
      <w:pPr>
        <w:pStyle w:val="OpiPara"/>
      </w:pPr>
      <w:r w:rsidRPr="003A6B99">
        <w:t>2.  </w:t>
      </w:r>
      <w:r>
        <w:rPr>
          <w:rStyle w:val="sb8d990e2"/>
        </w:rPr>
        <w:t>Niemniej pragniemy wskazać, że – w zakresie, w jakim wyrok stanowi ocenę zastosowania art. 6 ust. 1 w odniesieniu do postępowania przed Sądem Najwyższym, wolelibyśmy, by uzasadnienie było nieco szersze.</w:t>
      </w:r>
    </w:p>
    <w:p w:rsidR="001C1275" w:rsidRPr="00B27EB5" w:rsidRDefault="001C1275" w:rsidP="003A6B99">
      <w:pPr>
        <w:pStyle w:val="s30eec3f8"/>
        <w:spacing w:before="0" w:beforeAutospacing="0" w:after="0" w:afterAutospacing="0"/>
        <w:ind w:firstLine="284"/>
        <w:jc w:val="both"/>
      </w:pPr>
      <w:r>
        <w:rPr>
          <w:rStyle w:val="sb8d990e2"/>
        </w:rPr>
        <w:t>W naszej opinii wystarczy zauważyć, że przedmiotowe postępowanie, wszczęte w ślad za stwierdzeniem przez nasz Trybunał, że postępowanie przed Sądem Najwyższym było nierzetelne, miało na celu ponowne sądowe rozpatrzenie decyzji sądów krajowych, w tym pierwotnej decyzji Sądu Najwyższego z dnia 22 sierpnia 2002 r. Przywiązujemy znaczącą wagę do faktu, że odwołanie o charakterze wyjątkowym wniesione przez skarżącą można postrzegać jako przedłużenie pierwotnego postępowania, na podobieństwo procedury kasacyjnej (zob. paragraf 53 wyroku).</w:t>
      </w:r>
    </w:p>
    <w:p w:rsidR="001C1275" w:rsidRDefault="001C1275" w:rsidP="000E1CF6">
      <w:pPr>
        <w:pStyle w:val="OpiPara"/>
        <w:rPr>
          <w:rStyle w:val="sb8d990e2"/>
        </w:rPr>
      </w:pPr>
      <w:r>
        <w:rPr>
          <w:rStyle w:val="sb8d990e2"/>
        </w:rPr>
        <w:t>Z drugiej strony nie uważamy, by było konieczne uwzględnienie sposobu, w jaki Sąd Najwyższy faktycznie sprawował swoje funkcje w związku z postępowaniem dotyczącym odwołania o charakterze wyjątkowym (zob. paragraf 54 wyroku). Zastosowanie art. 6 ust. 1 nie powinno zależeć od wyniku postępowania ani – w szczególności – od faktu, że sąd kasacyjny mógł w pewnym zakresie rozpatrzyć merytoryczne aspekty pierwotnego roszczenia.</w:t>
      </w:r>
    </w:p>
    <w:p w:rsidR="001C1275" w:rsidRPr="003A6B99" w:rsidRDefault="001C1275" w:rsidP="000E1CF6">
      <w:pPr>
        <w:pStyle w:val="OpiPara"/>
      </w:pPr>
      <w:r w:rsidRPr="003A6B99">
        <w:t>3.  </w:t>
      </w:r>
      <w:r>
        <w:rPr>
          <w:rStyle w:val="sb8d990e2"/>
        </w:rPr>
        <w:t xml:space="preserve">Chcielibyśmy ponadto podkreślić, że zasady </w:t>
      </w:r>
      <w:r>
        <w:rPr>
          <w:rStyle w:val="s6b621b36"/>
          <w:i/>
          <w:iCs/>
        </w:rPr>
        <w:t>res iudicata</w:t>
      </w:r>
      <w:r>
        <w:rPr>
          <w:rStyle w:val="sb8d990e2"/>
        </w:rPr>
        <w:t xml:space="preserve"> i pewności prawnej, o których mowa w paragrafie 57 wyroku, nie mogą być zbędnie naruszone w sprawach takich jak omawiana, ponieważ możliwość wznowienia</w:t>
      </w:r>
      <w:r w:rsidDel="00973536">
        <w:rPr>
          <w:rStyle w:val="sb8d990e2"/>
        </w:rPr>
        <w:t xml:space="preserve"> </w:t>
      </w:r>
      <w:r>
        <w:rPr>
          <w:rStyle w:val="sb8d990e2"/>
        </w:rPr>
        <w:t>zakończonego postępowania jest od początku przewidziana w prawie krajowym.</w:t>
      </w:r>
    </w:p>
    <w:p w:rsidR="001C1275" w:rsidRPr="00B27EB5" w:rsidRDefault="001C1275" w:rsidP="003A6B99">
      <w:pPr>
        <w:pStyle w:val="s30eec3f8"/>
        <w:spacing w:before="0" w:beforeAutospacing="0" w:after="0" w:afterAutospacing="0"/>
        <w:ind w:firstLine="284"/>
        <w:jc w:val="both"/>
      </w:pPr>
      <w:r>
        <w:rPr>
          <w:rStyle w:val="sb8d990e2"/>
        </w:rPr>
        <w:t xml:space="preserve">W tym zakresie powtarzamy, że Konwencję należy interpretować jako instrument gwarantujący prawa o charakterze praktycznym i skutecznym. Podkreślanie, co do zasady, niezmienności krajowych decyzji, co do których Trybunał stwierdził naruszenie Konwencji, mogłoby oznaczać pozbawienie wyroków Trybunału w dużej mierze ich rzeczywistych skutków, co sprawiłoby, że środek strasburski okazałby się rozwiązaniem iluzorycznym. </w:t>
      </w:r>
    </w:p>
    <w:p w:rsidR="001C1275" w:rsidRPr="003A6B99" w:rsidRDefault="001C1275" w:rsidP="000E1CF6">
      <w:pPr>
        <w:pStyle w:val="OpiPara"/>
      </w:pPr>
      <w:r w:rsidRPr="003A6B99">
        <w:t>4.  </w:t>
      </w:r>
      <w:r>
        <w:rPr>
          <w:rStyle w:val="sb8d990e2"/>
        </w:rPr>
        <w:t>Korzystając ze sposobności, zauważamy, że zasadniczo jesteśmy za znacznie szerszym podejściem do stosowania art. 6 ust. 1 w postępowaniu cywilnym.</w:t>
      </w:r>
    </w:p>
    <w:p w:rsidR="001C1275" w:rsidRPr="00B27EB5" w:rsidRDefault="001C1275" w:rsidP="003A6B99">
      <w:pPr>
        <w:pStyle w:val="s30eec3f8"/>
        <w:spacing w:before="0" w:beforeAutospacing="0" w:after="0" w:afterAutospacing="0"/>
        <w:ind w:firstLine="284"/>
        <w:jc w:val="both"/>
      </w:pPr>
      <w:r>
        <w:rPr>
          <w:rStyle w:val="sb8d990e2"/>
        </w:rPr>
        <w:t xml:space="preserve">Powinniśmy zadać sobie pytanie, czy art. 6 ust. 1 nie ma zastosowania w odniesieniu do </w:t>
      </w:r>
      <w:r w:rsidRPr="00115A21">
        <w:rPr>
          <w:rStyle w:val="s6b621b36"/>
          <w:i/>
          <w:iCs/>
        </w:rPr>
        <w:t>wszystkich</w:t>
      </w:r>
      <w:r>
        <w:rPr>
          <w:rStyle w:val="sb8d990e2"/>
        </w:rPr>
        <w:t xml:space="preserve"> postępowań sądowych dotyczących prawnie chronionych praw i interesów, bez względu na zakres, w jakim uważa się je za decydujące dla rozstrzygania o jakichkolwiek (cywilnych) prawach i obowiązkach. Przyjęcie takiego stanowiska pozwoliłoby uniknąć długiego badania, czy dane postępowanie, biorąc pod uwagę jego szczególne cechy, pozostaje objęte zakresem art. 6 ust. 1, czy też nie.</w:t>
      </w:r>
    </w:p>
    <w:p w:rsidR="001C1275" w:rsidRPr="003A6B99" w:rsidRDefault="001C1275" w:rsidP="008847BC">
      <w:pPr>
        <w:pStyle w:val="ECHRPara"/>
      </w:pPr>
      <w:r w:rsidRPr="003A6B99">
        <w:br w:type="page"/>
      </w:r>
    </w:p>
    <w:p w:rsidR="001C1275" w:rsidRPr="005E2BCA" w:rsidRDefault="001C1275" w:rsidP="0059749C">
      <w:pPr>
        <w:pStyle w:val="ECHRTitleCentre1"/>
        <w:spacing w:before="480"/>
        <w:rPr>
          <w:lang w:val="pl-PL"/>
        </w:rPr>
      </w:pPr>
      <w:r>
        <w:rPr>
          <w:lang w:val="pl-PL"/>
        </w:rPr>
        <w:t>ZGODNA OPINIA ODRĘBNA SĘDZIEGO</w:t>
      </w:r>
      <w:r w:rsidRPr="005E2BCA">
        <w:rPr>
          <w:lang w:val="pl-PL"/>
        </w:rPr>
        <w:t xml:space="preserve"> WOJTYCZ</w:t>
      </w:r>
      <w:r>
        <w:rPr>
          <w:lang w:val="pl-PL"/>
        </w:rPr>
        <w:t>KA</w:t>
      </w:r>
    </w:p>
    <w:p w:rsidR="001C1275" w:rsidRDefault="001C1275" w:rsidP="000E1CF6">
      <w:pPr>
        <w:pStyle w:val="OpiTranslation"/>
        <w:rPr>
          <w:lang w:val="uk-UA"/>
        </w:rPr>
      </w:pPr>
      <w:r w:rsidRPr="005E2BCA">
        <w:rPr>
          <w:lang w:val="pl-PL"/>
        </w:rPr>
        <w:t>(Tłumaczenie)</w:t>
      </w:r>
    </w:p>
    <w:p w:rsidR="001C1275" w:rsidRPr="00A153E9" w:rsidRDefault="001C1275" w:rsidP="00A153E9">
      <w:pPr>
        <w:pStyle w:val="OpiPara"/>
        <w:rPr>
          <w:lang w:val="uk-UA"/>
        </w:rPr>
      </w:pPr>
    </w:p>
    <w:p w:rsidR="001C1275" w:rsidRPr="000C6184" w:rsidRDefault="001C1275" w:rsidP="000E1CF6">
      <w:pPr>
        <w:pStyle w:val="OpiPara"/>
      </w:pPr>
      <w:r w:rsidRPr="005E2BCA">
        <w:t>1.  </w:t>
      </w:r>
      <w:r>
        <w:rPr>
          <w:rStyle w:val="sb8d990e2"/>
        </w:rPr>
        <w:t>W obecnej sprawie głosowałem zgodnie ze stanowiskiem większości w zakresie naruszenia art. 6 § 1 Konwencji. Niemniej jednak mam pewne wątpliwości dotyczące uzasadnienia wyroku, a w szczególności ustaleń dotyczących zastosowania art. 6 do postępowań mających na celu rozpatrzenie nadzwyczajnych środków odwoławczych od decyzji sądowych.</w:t>
      </w:r>
    </w:p>
    <w:p w:rsidR="001C1275" w:rsidRPr="000C6184" w:rsidRDefault="001C1275" w:rsidP="000E1CF6">
      <w:pPr>
        <w:pStyle w:val="OpiPara"/>
      </w:pPr>
      <w:r w:rsidRPr="005E2BCA">
        <w:t>2.  </w:t>
      </w:r>
      <w:r>
        <w:rPr>
          <w:rStyle w:val="sb8d990e2"/>
        </w:rPr>
        <w:t>To, czy oraz w jakim stopniu art. 6 stosuje się do postępowań mających na celu rozpatrzenie nadzwyczajnych środków odwoławczych od decyzji sądowych lub indywidualnych decyzji administracyjnych, jest bardzo trudną kwestią, zważywszy znaczną złożoność prawa proceduralnego i jego zróżnicowanie w Europie. Oprócz trudności merytorycznych występują również kwestie językowe, które są szczególnie dotkliwe w tej sferze prawnej, ponieważ liczne terminy prawne stosowane w ustawodawstwie Układających się Państw nie mają swoich odpowiedników w oficjalnych językach Trybunału.</w:t>
      </w:r>
    </w:p>
    <w:p w:rsidR="001C1275" w:rsidRPr="000C6184" w:rsidRDefault="001C1275" w:rsidP="000C6184">
      <w:pPr>
        <w:pStyle w:val="s30eec3f8"/>
        <w:spacing w:before="0" w:beforeAutospacing="0" w:after="0" w:afterAutospacing="0"/>
        <w:ind w:firstLine="284"/>
        <w:jc w:val="both"/>
      </w:pPr>
      <w:r>
        <w:rPr>
          <w:rStyle w:val="sb8d990e2"/>
        </w:rPr>
        <w:t>Zwracam uwagę na fakt, że w swoim dotychczasowym orzecznictwie Trybunał akceptował stosowalność art. 6 do „skarg kasacyjnych" w postępowaniach sądowych w niektórych Państwach, nawet kiedy takie skargi uważano zgodnie z prawem krajowym za nadzwyczajny środek odwoławczy. Z drugiej strony Trybunał uznał, że art. 6 nie ma co do zasady zastosowania do postępowania dotyczącego wniosku o „wznowienie</w:t>
      </w:r>
      <w:r w:rsidDel="00973536">
        <w:rPr>
          <w:rStyle w:val="sb8d990e2"/>
        </w:rPr>
        <w:t xml:space="preserve"> </w:t>
      </w:r>
      <w:r>
        <w:rPr>
          <w:rStyle w:val="sb8d990e2"/>
        </w:rPr>
        <w:t xml:space="preserve">postępowania sądowego" (zob. wyroki przytoczone w paragrafie 44 wyroku). Jednocześnie Trybunał w pewnej liczbie spraw uznał, że art. 6 ma zastosowanie do innych nadzwyczajnych środków przewidzianych w pewnych Państwach (zob. w szczególności wyroki w sprawie </w:t>
      </w:r>
      <w:r w:rsidRPr="00086B80">
        <w:rPr>
          <w:rStyle w:val="s6b621b36"/>
          <w:i/>
          <w:iCs/>
        </w:rPr>
        <w:t>Melis</w:t>
      </w:r>
      <w:r>
        <w:rPr>
          <w:rStyle w:val="s6b621b36"/>
        </w:rPr>
        <w:t xml:space="preserve"> </w:t>
      </w:r>
      <w:r w:rsidRPr="00086B80">
        <w:rPr>
          <w:rStyle w:val="s6b621b36"/>
          <w:i/>
          <w:iCs/>
        </w:rPr>
        <w:t>przeciwko</w:t>
      </w:r>
      <w:r>
        <w:rPr>
          <w:rStyle w:val="s6b621b36"/>
        </w:rPr>
        <w:t xml:space="preserve"> </w:t>
      </w:r>
      <w:r w:rsidRPr="00086B80">
        <w:rPr>
          <w:rStyle w:val="s6b621b36"/>
          <w:i/>
          <w:iCs/>
        </w:rPr>
        <w:t>Grecji</w:t>
      </w:r>
      <w:r>
        <w:rPr>
          <w:rStyle w:val="sb8d990e2"/>
        </w:rPr>
        <w:t>,</w:t>
      </w:r>
      <w:r>
        <w:rPr>
          <w:rStyle w:val="s6b621b36"/>
        </w:rPr>
        <w:t xml:space="preserve"> </w:t>
      </w:r>
      <w:r>
        <w:rPr>
          <w:rStyle w:val="sb8d990e2"/>
        </w:rPr>
        <w:t xml:space="preserve">nr </w:t>
      </w:r>
      <w:r w:rsidRPr="00CF5AF9">
        <w:t>30604/07</w:t>
      </w:r>
      <w:r>
        <w:rPr>
          <w:rStyle w:val="sb8d990e2"/>
        </w:rPr>
        <w:t xml:space="preserve">, § 19, 22 lipca 2010 r.; </w:t>
      </w:r>
      <w:r w:rsidRPr="00231223">
        <w:rPr>
          <w:rStyle w:val="s6b621b36"/>
          <w:i/>
          <w:iCs/>
        </w:rPr>
        <w:t>San</w:t>
      </w:r>
      <w:r>
        <w:rPr>
          <w:rStyle w:val="s6b621b36"/>
        </w:rPr>
        <w:t xml:space="preserve"> </w:t>
      </w:r>
      <w:r w:rsidRPr="00086B80">
        <w:rPr>
          <w:rStyle w:val="s6b621b36"/>
          <w:i/>
          <w:iCs/>
        </w:rPr>
        <w:t>Leonard</w:t>
      </w:r>
      <w:r>
        <w:rPr>
          <w:rStyle w:val="s6b621b36"/>
        </w:rPr>
        <w:t xml:space="preserve"> </w:t>
      </w:r>
      <w:r w:rsidRPr="00086B80">
        <w:rPr>
          <w:rStyle w:val="s6b621b36"/>
          <w:i/>
          <w:iCs/>
        </w:rPr>
        <w:t>Band</w:t>
      </w:r>
      <w:r>
        <w:rPr>
          <w:rStyle w:val="s6b621b36"/>
        </w:rPr>
        <w:t xml:space="preserve"> </w:t>
      </w:r>
      <w:r w:rsidRPr="00086B80">
        <w:rPr>
          <w:rStyle w:val="s6b621b36"/>
          <w:i/>
          <w:iCs/>
        </w:rPr>
        <w:t>Club</w:t>
      </w:r>
      <w:r>
        <w:rPr>
          <w:rStyle w:val="s6b621b36"/>
        </w:rPr>
        <w:t xml:space="preserve"> </w:t>
      </w:r>
      <w:r w:rsidRPr="00086B80">
        <w:rPr>
          <w:rStyle w:val="s6b621b36"/>
          <w:i/>
          <w:iCs/>
        </w:rPr>
        <w:t>przeciwko</w:t>
      </w:r>
      <w:r>
        <w:rPr>
          <w:rStyle w:val="s6b621b36"/>
        </w:rPr>
        <w:t xml:space="preserve"> </w:t>
      </w:r>
      <w:r w:rsidRPr="00086B80">
        <w:rPr>
          <w:rStyle w:val="s6b621b36"/>
          <w:i/>
          <w:iCs/>
        </w:rPr>
        <w:t>Malcie</w:t>
      </w:r>
      <w:r>
        <w:rPr>
          <w:rStyle w:val="sb8d990e2"/>
        </w:rPr>
        <w:t>,</w:t>
      </w:r>
      <w:r>
        <w:rPr>
          <w:rStyle w:val="s6b621b36"/>
        </w:rPr>
        <w:t xml:space="preserve"> </w:t>
      </w:r>
      <w:r>
        <w:rPr>
          <w:rStyle w:val="sb8d990e2"/>
        </w:rPr>
        <w:t xml:space="preserve">nr </w:t>
      </w:r>
      <w:r w:rsidRPr="00CF5AF9">
        <w:t>77562/01</w:t>
      </w:r>
      <w:r>
        <w:rPr>
          <w:rStyle w:val="sb8d990e2"/>
        </w:rPr>
        <w:t xml:space="preserve">, ETPC 2004-IX; </w:t>
      </w:r>
      <w:r w:rsidRPr="00086B80">
        <w:rPr>
          <w:rStyle w:val="s6b621b36"/>
          <w:i/>
          <w:iCs/>
        </w:rPr>
        <w:t>Maresti</w:t>
      </w:r>
      <w:r>
        <w:rPr>
          <w:rStyle w:val="s6b621b36"/>
        </w:rPr>
        <w:t xml:space="preserve"> </w:t>
      </w:r>
      <w:r w:rsidRPr="00086B80">
        <w:rPr>
          <w:rStyle w:val="s6b621b36"/>
          <w:i/>
          <w:iCs/>
        </w:rPr>
        <w:t>przeciwko</w:t>
      </w:r>
      <w:r>
        <w:rPr>
          <w:rStyle w:val="s6b621b36"/>
        </w:rPr>
        <w:t xml:space="preserve"> </w:t>
      </w:r>
      <w:r w:rsidRPr="00086B80">
        <w:rPr>
          <w:rStyle w:val="s6b621b36"/>
          <w:i/>
          <w:iCs/>
        </w:rPr>
        <w:t>Chorwacji</w:t>
      </w:r>
      <w:r>
        <w:rPr>
          <w:rStyle w:val="sb8d990e2"/>
        </w:rPr>
        <w:t xml:space="preserve">, nr </w:t>
      </w:r>
      <w:r w:rsidRPr="00CF5AF9">
        <w:t>55759/07</w:t>
      </w:r>
      <w:r>
        <w:rPr>
          <w:rStyle w:val="sb8d990e2"/>
        </w:rPr>
        <w:t xml:space="preserve">, 25 czerwca 2009 r.; oraz </w:t>
      </w:r>
      <w:r w:rsidRPr="00086B80">
        <w:rPr>
          <w:rStyle w:val="s6b621b36"/>
          <w:i/>
          <w:iCs/>
        </w:rPr>
        <w:t>J.S. i A.S. przeciwko Polsce</w:t>
      </w:r>
      <w:r>
        <w:rPr>
          <w:rStyle w:val="sb8d990e2"/>
        </w:rPr>
        <w:t xml:space="preserve">, nr </w:t>
      </w:r>
      <w:r w:rsidRPr="00CF5AF9">
        <w:t>40732/98</w:t>
      </w:r>
      <w:r>
        <w:rPr>
          <w:rStyle w:val="sb8d990e2"/>
        </w:rPr>
        <w:t>, 24 maja 2005 r.).</w:t>
      </w:r>
    </w:p>
    <w:p w:rsidR="001C1275" w:rsidRPr="00B27EB5" w:rsidRDefault="001C1275" w:rsidP="000C6184">
      <w:pPr>
        <w:pStyle w:val="s30eec3f8"/>
        <w:spacing w:before="0" w:beforeAutospacing="0" w:after="0" w:afterAutospacing="0"/>
        <w:ind w:firstLine="284"/>
        <w:jc w:val="both"/>
      </w:pPr>
      <w:r>
        <w:rPr>
          <w:rStyle w:val="sb8d990e2"/>
        </w:rPr>
        <w:t xml:space="preserve">W celu uzasadnienia stosowalności art. 6 w tych wyrokach podnoszone były różne argumenty. W sprawie </w:t>
      </w:r>
      <w:r w:rsidRPr="00086B80">
        <w:rPr>
          <w:rStyle w:val="s6b621b36"/>
          <w:i/>
          <w:iCs/>
        </w:rPr>
        <w:t>San</w:t>
      </w:r>
      <w:r>
        <w:rPr>
          <w:rStyle w:val="s6b621b36"/>
        </w:rPr>
        <w:t xml:space="preserve"> </w:t>
      </w:r>
      <w:r w:rsidRPr="00086B80">
        <w:rPr>
          <w:rStyle w:val="s6b621b36"/>
          <w:i/>
          <w:iCs/>
        </w:rPr>
        <w:t>Leonard</w:t>
      </w:r>
      <w:r>
        <w:rPr>
          <w:rStyle w:val="s6b621b36"/>
        </w:rPr>
        <w:t xml:space="preserve"> </w:t>
      </w:r>
      <w:r w:rsidRPr="00086B80">
        <w:rPr>
          <w:rStyle w:val="s6b621b36"/>
          <w:i/>
          <w:iCs/>
        </w:rPr>
        <w:t>Band</w:t>
      </w:r>
      <w:r>
        <w:rPr>
          <w:rStyle w:val="s6b621b36"/>
        </w:rPr>
        <w:t xml:space="preserve"> </w:t>
      </w:r>
      <w:r w:rsidRPr="00086B80">
        <w:rPr>
          <w:rStyle w:val="s6b621b36"/>
          <w:i/>
          <w:iCs/>
        </w:rPr>
        <w:t>Club</w:t>
      </w:r>
      <w:r>
        <w:rPr>
          <w:rStyle w:val="sb8d990e2"/>
        </w:rPr>
        <w:t>, dotyczącej wniosku o nowy proces karny, Trybunał podkreślił trzy czynniki: (1) wniosek o ponowny proces był jedynym przewidzianym w maltańskim prawie środkiem zaskarżenia decyzji podtrzymanej w postępowaniu odwoławczym; (2) wniosek w rzeczonej sprawie był oparty na domniemanym błędnym zastosowaniu prawa; oraz (3) gdyby warunki ustawowe były spełnione, wniosek doprowadziłby do nowego procesu nie pozostawiając do uznaniowej oceny, czy było to właściwe.</w:t>
      </w:r>
    </w:p>
    <w:p w:rsidR="001C1275" w:rsidRPr="00B27EB5" w:rsidRDefault="001C1275" w:rsidP="000C6184">
      <w:pPr>
        <w:pStyle w:val="s30eec3f8"/>
        <w:spacing w:before="0" w:beforeAutospacing="0" w:after="0" w:afterAutospacing="0"/>
        <w:ind w:firstLine="284"/>
        <w:jc w:val="both"/>
      </w:pPr>
      <w:r>
        <w:rPr>
          <w:rStyle w:val="sb8d990e2"/>
        </w:rPr>
        <w:t xml:space="preserve">W sprawie </w:t>
      </w:r>
      <w:r w:rsidRPr="00086B80">
        <w:rPr>
          <w:rStyle w:val="s6b621b36"/>
          <w:i/>
          <w:iCs/>
        </w:rPr>
        <w:t>Melis</w:t>
      </w:r>
      <w:r>
        <w:rPr>
          <w:rStyle w:val="sb8d990e2"/>
        </w:rPr>
        <w:t>, która dotyczyła wniosku o wznowienie</w:t>
      </w:r>
      <w:r w:rsidDel="00973536">
        <w:rPr>
          <w:rStyle w:val="sb8d990e2"/>
        </w:rPr>
        <w:t xml:space="preserve"> </w:t>
      </w:r>
      <w:r>
        <w:rPr>
          <w:rStyle w:val="sb8d990e2"/>
        </w:rPr>
        <w:t>postępowania, Trybunał podkreślał jako „czynnik rozstrzygający, ... że, w niniejszej sprawie wniosek o wznowienie</w:t>
      </w:r>
      <w:r w:rsidDel="00973536">
        <w:rPr>
          <w:rStyle w:val="sb8d990e2"/>
        </w:rPr>
        <w:t xml:space="preserve"> </w:t>
      </w:r>
      <w:r>
        <w:rPr>
          <w:rStyle w:val="sb8d990e2"/>
        </w:rPr>
        <w:t>postępowania jest jedynym instrumentem prawnym, za pomocą którego skarżący mógł doprowadzić do uchylenia wyroku odwoławczego w postępowaniu cywilnym i przywrócenia jego prawa własności" (§ 19).</w:t>
      </w:r>
    </w:p>
    <w:p w:rsidR="001C1275" w:rsidRPr="00B27EB5" w:rsidRDefault="001C1275" w:rsidP="000C6184">
      <w:pPr>
        <w:pStyle w:val="s30eec3f8"/>
        <w:spacing w:before="0" w:beforeAutospacing="0" w:after="0" w:afterAutospacing="0"/>
        <w:ind w:firstLine="284"/>
        <w:jc w:val="both"/>
      </w:pPr>
      <w:r>
        <w:rPr>
          <w:rStyle w:val="sb8d990e2"/>
        </w:rPr>
        <w:t xml:space="preserve">W sprawie </w:t>
      </w:r>
      <w:r w:rsidRPr="00086B80">
        <w:rPr>
          <w:rStyle w:val="s6b621b36"/>
          <w:i/>
          <w:iCs/>
        </w:rPr>
        <w:t>Maresti</w:t>
      </w:r>
      <w:r>
        <w:rPr>
          <w:rStyle w:val="sb8d990e2"/>
        </w:rPr>
        <w:t>, dotyczącej wniosku o nadzwyczajną ocenę wyroku karnego, stosowalność art. 6 została uzasadniona przede wszystkim argumentem, że omawiany środek był podobny do skargi kasacyjnej w postępowaniu cywilnym. Trybunał podkreślił ponadto, że występując z tym wnioskiem, skarżący opierał się na fakcie, że postępowanie karne w jego sprawie uległo przedawnieniu.</w:t>
      </w:r>
    </w:p>
    <w:p w:rsidR="001C1275" w:rsidRPr="00B27EB5" w:rsidRDefault="001C1275" w:rsidP="000C6184">
      <w:pPr>
        <w:pStyle w:val="s30eec3f8"/>
        <w:spacing w:before="0" w:beforeAutospacing="0" w:after="0" w:afterAutospacing="0"/>
        <w:ind w:firstLine="284"/>
        <w:jc w:val="both"/>
      </w:pPr>
      <w:r>
        <w:rPr>
          <w:rStyle w:val="sb8d990e2"/>
        </w:rPr>
        <w:t xml:space="preserve">Interesujące jest również, że w wyroku w sprawie </w:t>
      </w:r>
      <w:r>
        <w:rPr>
          <w:rStyle w:val="s6b621b36"/>
        </w:rPr>
        <w:t xml:space="preserve"> </w:t>
      </w:r>
      <w:r w:rsidRPr="00086B80">
        <w:rPr>
          <w:rStyle w:val="s6b621b36"/>
          <w:i/>
          <w:iCs/>
        </w:rPr>
        <w:t>J.S. i A.S. przeciwko Polsce</w:t>
      </w:r>
      <w:r>
        <w:rPr>
          <w:rStyle w:val="sb8d990e2"/>
        </w:rPr>
        <w:t xml:space="preserve"> stwierdzono stosowalność art. 6 w odniesieniu do jednego z nadzwyczajnych środków przewidzianych w polskim postępowaniu administracyjnym, w tym przypadku wniosku o stwierdzenie nieważności indywidualnej decyzji administracyjnej charakteryzującej się szczególnie poważnymi wadami. Wspomniany środek umożliwia skarżącym uzyskanie </w:t>
      </w:r>
      <w:r w:rsidRPr="00CE71DF">
        <w:rPr>
          <w:rStyle w:val="sb8d990e2"/>
        </w:rPr>
        <w:t>kontroli sądowej</w:t>
      </w:r>
      <w:r>
        <w:rPr>
          <w:rStyle w:val="sb8d990e2"/>
        </w:rPr>
        <w:t xml:space="preserve"> legalności prawomocnej indywidualnej decyzji administracyjnej nawet kilka lat po jej wydaniu. Stąd osoby, które wystąpiły z wnioskiem o stwierdzenie nieważności prawomocnej indywidualnej decyzji administracyjnej wydanej kilka lat wcześniej i odnoszącej się do praw i obowiązków o charakterze cywilnym w rozumieniu Konwencji, są uprawnione do rozpatrzenia sprawy w rozsądnym terminie przez niezawisły i bezstronny sąd, który ma obowiązek ocenić ich roszczenia w aspekcie merytorycznym. Na poparcie stwierdzenia, że art. 6 miał zastosowanie w tej sprawie, Trybunał zauważył, że skarżący w rzeczonej sprawie nie wystąpili o wznowienie</w:t>
      </w:r>
      <w:r w:rsidDel="00973536">
        <w:rPr>
          <w:rStyle w:val="sb8d990e2"/>
        </w:rPr>
        <w:t xml:space="preserve"> </w:t>
      </w:r>
      <w:r>
        <w:rPr>
          <w:rStyle w:val="sb8d990e2"/>
        </w:rPr>
        <w:t>postępowania administracyjnego, lecz wyłącznie o stwierdzenie nieważności wydanej w przeszłości decyzji administracyjnej.</w:t>
      </w:r>
    </w:p>
    <w:p w:rsidR="001C1275" w:rsidRPr="000C6184" w:rsidRDefault="001C1275" w:rsidP="000E1CF6">
      <w:pPr>
        <w:pStyle w:val="OpiPara"/>
      </w:pPr>
      <w:r w:rsidRPr="000C6184">
        <w:t>3.  </w:t>
      </w:r>
      <w:r>
        <w:rPr>
          <w:rStyle w:val="sb8d990e2"/>
        </w:rPr>
        <w:t>Bez przeprowadzania analizy porównawczej prawa proceduralnego możemy zwięźle zauważyć, że w wielu systemach prawnych „skargi kasacyjne" podlegają bardzo ścisłym ograniczeniom czasowym i dotyczą kwestii prawnych, podczas gdy „wnioski o wznowienie</w:t>
      </w:r>
      <w:r w:rsidDel="00973536">
        <w:rPr>
          <w:rStyle w:val="sb8d990e2"/>
        </w:rPr>
        <w:t xml:space="preserve"> </w:t>
      </w:r>
      <w:r>
        <w:rPr>
          <w:rStyle w:val="sb8d990e2"/>
        </w:rPr>
        <w:t>postępowania" mogą być wnoszone wiele lat później i mają za podstawę szczególne nowe fakty, nowe dowody lub pewne poważne wady proceduralne. Możemy zatem poczynić w bardzo intuicyjny sposób obserwację, że rozpatrzenie skargi kasacyjnej stanowi w pewnym sensie „naturalne przedłużenie" pierwotnego postępowania, skupiające się na tym etapie na kwestiach dotyczących interpretacji obowiązującego prawa i przedłużające w przypadku stron stan niepewności co do wyniku postępowania. Wznowienie postępowania wydaje się natomiast środkiem bardziej wyjątkowym i może mieć miejsce po bardzo długim czasie od wydania ostatecznej decyzji sądowej w pierwotnym postępowaniu.</w:t>
      </w:r>
    </w:p>
    <w:p w:rsidR="001C1275" w:rsidRPr="000C6184" w:rsidRDefault="001C1275" w:rsidP="000C6184">
      <w:pPr>
        <w:pStyle w:val="s30eec3f8"/>
        <w:spacing w:before="0" w:beforeAutospacing="0" w:after="0" w:afterAutospacing="0"/>
        <w:ind w:firstLine="284"/>
        <w:jc w:val="both"/>
      </w:pPr>
      <w:r>
        <w:rPr>
          <w:rStyle w:val="sb8d990e2"/>
        </w:rPr>
        <w:t>Z drugiej strony należy podkreślić, że skarga kasacyjna w wielu systemach prawnych służy przede wszystkim interesowi publicznemu. Jest ona środkiem ustalenia prawidłowej interpretacji prawa oraz harmonizacji orzecznictwa sądów niższych instancji. Osoby, które chcą złożyć tego rodzaju skargę, muszą wykazać, że z jej rozpatrzeniem wiąże się interes publiczny. W przeciwieństwie do tego wniosek o wznowienie postępowania bardzo często nie jest obwarowany żadnym takim warunkiem. Dlatego też może on służyć ochronie praw podmiotowych bez konieczności wykazywania, że w jego rozpatrzeniu leży interes publiczny. Co więcej, środki naprawy niesprawiedliwości za pomocą wznowienia postępowania, związane z błędami faktycznymi, są często o wiele bardziej wyraziste niż często niemożliwe do uniknięcia wahania odnoszące się do interpretacji prawa, których przezwyciężeniu służy skarga kasacyjna. Co  więcej, skargi kasacyjne często podlegają wstępnej procedurze filtracyjnej, umożliwiającej ocenę ich dopuszczalności, zanim zostaną rozpatrzone w aspekcie merytorycznym.</w:t>
      </w:r>
    </w:p>
    <w:p w:rsidR="001C1275" w:rsidRPr="00B27EB5" w:rsidRDefault="001C1275" w:rsidP="000C6184">
      <w:pPr>
        <w:pStyle w:val="s30eec3f8"/>
        <w:spacing w:before="0" w:beforeAutospacing="0" w:after="0" w:afterAutospacing="0"/>
        <w:ind w:firstLine="284"/>
        <w:jc w:val="both"/>
      </w:pPr>
      <w:r>
        <w:rPr>
          <w:rStyle w:val="sb8d990e2"/>
        </w:rPr>
        <w:t>W różnych wyrokach Trybunał utrzymywał, że zbadanie wniosku o wznowienie postępowania nie jest samo w sobie procedurą prowadzącą do rozstrzygania o prawach lub obowiązkach stron lub zarzutu karnego. Rozstrzyganie od nowa o prawach i obowiązkach stron ma miejsce tylko w przypadku podjęcia decyzji o wznowieniu postępowania. Ze swojej strony stwierdzam, że w niektórych krajach skarga kasacyjna cechuje się pewną liczbą podobieństw w tym zakresie. Podczas pierwszego etapu właściwy sąd rozstrzyga co do dopuszczalności skargi. Podczas drugiego etapu rozstrzyga sprawę w aspekcie merytorycznym – istnieje tutaj możliwość uchylenia zaskarżanego wyroku. W trzecim etapie, jeżeli ma on zastosowanie, inny sąd rozstrzyga na nowo o prawach i obowiązkach stron.</w:t>
      </w:r>
    </w:p>
    <w:p w:rsidR="001C1275" w:rsidRPr="00B27EB5" w:rsidRDefault="001C1275" w:rsidP="000C6184">
      <w:pPr>
        <w:pStyle w:val="s30eec3f8"/>
        <w:spacing w:before="0" w:beforeAutospacing="0" w:after="0" w:afterAutospacing="0"/>
        <w:ind w:firstLine="284"/>
        <w:jc w:val="both"/>
      </w:pPr>
      <w:r>
        <w:rPr>
          <w:rStyle w:val="sb8d990e2"/>
        </w:rPr>
        <w:t xml:space="preserve">Czy naprawdę możemy na tym tle przeprowadzić rozróżnienie pomiędzy tymi dwoma rodzajami nadzwyczajnych środków odwoławczych na potrzeby stosowalności art. 6? Można w to wątpić. W każdym razie przekonująca odpowiedź twierdząca wymagałaby dogłębnego zbadania prawa proceduralnego w różnych Państwach. Analiza wyroków i decyzji Trybunału prowadzi do wniosku, że w orzecznictwie nie ustalono precyzyjnych kryteriów pozwalających na ustalenie, jakie nadzwyczajne środki odwoławcze mieszczą się w zakresie stosowalności art. 6 Konwencji. Co więcej, w mojej opinii, podejście obrane w sprawie </w:t>
      </w:r>
      <w:r w:rsidRPr="00115A21">
        <w:rPr>
          <w:rStyle w:val="s6b621b36"/>
          <w:i/>
          <w:iCs/>
        </w:rPr>
        <w:t>J.S. i A.S.</w:t>
      </w:r>
      <w:r>
        <w:rPr>
          <w:rStyle w:val="s6b621b36"/>
        </w:rPr>
        <w:t xml:space="preserve"> </w:t>
      </w:r>
      <w:r>
        <w:rPr>
          <w:rStyle w:val="sb8d990e2"/>
        </w:rPr>
        <w:t>trudno jest pogodzić z orzecznictwem Trybunału dotyczącym środków umożliwiających ponowne zbadanie decyzji zapadłych w ramach różnego rodzaju postępowań. Przeanalizowane orzecznictwo ujawnia znaczny stopień niepewności dla stron oraz Układających się Państw.</w:t>
      </w:r>
    </w:p>
    <w:p w:rsidR="001C1275" w:rsidRPr="004E3B28" w:rsidRDefault="001C1275" w:rsidP="000E1CF6">
      <w:pPr>
        <w:pStyle w:val="OpiPara"/>
      </w:pPr>
      <w:r w:rsidRPr="004E3B28">
        <w:t>4.  </w:t>
      </w:r>
      <w:r>
        <w:rPr>
          <w:rStyle w:val="sb8d990e2"/>
        </w:rPr>
        <w:t xml:space="preserve">Sprawa </w:t>
      </w:r>
      <w:r w:rsidRPr="00086B80">
        <w:rPr>
          <w:rStyle w:val="s6b621b36"/>
          <w:i/>
          <w:iCs/>
        </w:rPr>
        <w:t>Bochan</w:t>
      </w:r>
      <w:r>
        <w:rPr>
          <w:rStyle w:val="s6b621b36"/>
        </w:rPr>
        <w:t xml:space="preserve"> </w:t>
      </w:r>
      <w:r w:rsidRPr="00086B80">
        <w:rPr>
          <w:rStyle w:val="s6b621b36"/>
          <w:i/>
          <w:iCs/>
        </w:rPr>
        <w:t>przeciwko</w:t>
      </w:r>
      <w:r>
        <w:rPr>
          <w:rStyle w:val="s6b621b36"/>
        </w:rPr>
        <w:t xml:space="preserve"> </w:t>
      </w:r>
      <w:r w:rsidRPr="00086B80">
        <w:rPr>
          <w:rStyle w:val="s6b621b36"/>
          <w:i/>
          <w:iCs/>
        </w:rPr>
        <w:t>Ukrainie</w:t>
      </w:r>
      <w:r>
        <w:rPr>
          <w:rStyle w:val="sb8d990e2"/>
        </w:rPr>
        <w:t xml:space="preserve"> stanowiła dobrą okazję do wyjaśnienia orzecznictwa Trybunału w zakresie stosowalności art. 6 do nadzwyczajnych środków odwoławczych w postępowaniach sądowych, przynajmniej w sprawach cywilnych.</w:t>
      </w:r>
    </w:p>
    <w:p w:rsidR="001C1275" w:rsidRPr="00115A21" w:rsidRDefault="001C1275" w:rsidP="004E3B28">
      <w:pPr>
        <w:pStyle w:val="s30eec3f8"/>
        <w:spacing w:before="0" w:beforeAutospacing="0" w:after="0" w:afterAutospacing="0"/>
        <w:ind w:firstLine="284"/>
        <w:jc w:val="both"/>
        <w:rPr>
          <w:rStyle w:val="sb8d990e2"/>
        </w:rPr>
      </w:pPr>
      <w:r>
        <w:rPr>
          <w:rStyle w:val="sb8d990e2"/>
        </w:rPr>
        <w:t>Większość stwierdza w paragrafie 50, co następuje: „Podsumowując, podczas gdy art. 6 § 1 nie znajduje normalnie zastosowania w odniesieniu do nadzwyczajnych środków odwoławczych mających na celu wznowienie</w:t>
      </w:r>
      <w:r w:rsidDel="00973536">
        <w:rPr>
          <w:rStyle w:val="sb8d990e2"/>
        </w:rPr>
        <w:t xml:space="preserve"> </w:t>
      </w:r>
      <w:r>
        <w:rPr>
          <w:rStyle w:val="sb8d990e2"/>
        </w:rPr>
        <w:t>zakończonego postępowania sądowego, natura, zakres i szczególne cechy postępowania sądowego dotyczącego danego nadzwyczajnego środka odwoławczego w danym systemie prawnym mogą być tego rodzaju, że postępowanie w sprawie takiego odwołania może znaleźć się w zakresie zastosowania art. 6 § 1 oraz gwarancji rzetelnego procesu przewidzianych w odniesieniu do uczestników sporu." Analizując omawianą skargę, Trybunał podkreśla podobieństwa ze „skargą kasacyjną" oraz fakt, że skargę tę można uważać za przedłużenie pierwotnego postępowania, przed analizą oceny przeprowadzonej przez Sąd Najwyższy Ukrainy w przedmiotowej sprawie. Żałuję, że uzasadnienie wyroku nie wskazuje bardziej dokładnych ogólnych kryteriów decydowania, które czynniki dotyczące natury, zakresu i szczególnych cech danego postępowania są rozstrzygające w kontekście stosowalności art. 6.</w:t>
      </w:r>
    </w:p>
    <w:p w:rsidR="001C1275" w:rsidRPr="00B27EB5" w:rsidRDefault="001C1275" w:rsidP="004E3B28">
      <w:pPr>
        <w:pStyle w:val="s30eec3f8"/>
        <w:spacing w:before="0" w:beforeAutospacing="0" w:after="0" w:afterAutospacing="0"/>
        <w:ind w:firstLine="284"/>
        <w:jc w:val="both"/>
      </w:pPr>
      <w:r>
        <w:rPr>
          <w:rStyle w:val="sb8d990e2"/>
        </w:rPr>
        <w:t xml:space="preserve">Wydaje się, że w uzasadnieniu daje znać o sobie niepewność co do precyzyjnego zakresu zastosowania art. 6. Na przykład, w paragrafie 44 </w:t>
      </w:r>
      <w:r w:rsidRPr="00231223">
        <w:rPr>
          <w:rStyle w:val="s6b621b36"/>
          <w:i/>
          <w:iCs/>
        </w:rPr>
        <w:t>in</w:t>
      </w:r>
      <w:r>
        <w:rPr>
          <w:rStyle w:val="s6b621b36"/>
        </w:rPr>
        <w:t xml:space="preserve"> </w:t>
      </w:r>
      <w:r w:rsidRPr="00231223">
        <w:rPr>
          <w:rStyle w:val="s6b621b36"/>
          <w:i/>
          <w:iCs/>
        </w:rPr>
        <w:t>fine</w:t>
      </w:r>
      <w:r>
        <w:rPr>
          <w:rStyle w:val="sb8d990e2"/>
        </w:rPr>
        <w:t xml:space="preserve"> Trybunał podsumowuje w następujących słowach utrwalone orzecznictwo dotyczące nadzwyczajnych środków</w:t>
      </w:r>
      <w:r w:rsidRPr="009C3BED">
        <w:rPr>
          <w:rStyle w:val="sb8d990e2"/>
        </w:rPr>
        <w:t xml:space="preserve"> </w:t>
      </w:r>
      <w:r>
        <w:rPr>
          <w:rStyle w:val="sb8d990e2"/>
        </w:rPr>
        <w:t xml:space="preserve">odwoławczych: „[jest to spowodowane] – w zakresie, w jakim sprawa jest objęta zasadą </w:t>
      </w:r>
      <w:r>
        <w:rPr>
          <w:rStyle w:val="s6b621b36"/>
          <w:i/>
          <w:iCs/>
        </w:rPr>
        <w:t>res iudicata</w:t>
      </w:r>
      <w:r>
        <w:rPr>
          <w:rStyle w:val="sb8d990e2"/>
        </w:rPr>
        <w:t xml:space="preserve"> ostatecznego wyroku zapadłego w postępowaniu krajowym – tym, że nie można zasadniczo utrzymywać, że dalsze nadzwyczajne skargi lub odwołania domagające się zmiany tego wyroku prowadzą do możliwych do obrony roszczeń co do istnienia prawa do ponownego rozważenia sprawy zgodnie z przepisami krajowymi lub że wynik postępowania, w którym podjęto decyzję, czy przeprowadzić takie ponowne rozważenie sprawy, jest ma decydujące znaczenie w kontekście „rozstrzygania o ... prawach i obowiązkach o charakterze cywilnym albo o zasadności każdego oskarżenia … w sprawie karnej"." Chciałbym zauważyć, że argument ten, użyty do wyjaśnienia, dlaczego art. 6 nie ma zastosowania do wniosków o wznowienie</w:t>
      </w:r>
      <w:r w:rsidDel="00973536">
        <w:rPr>
          <w:rStyle w:val="sb8d990e2"/>
        </w:rPr>
        <w:t xml:space="preserve"> </w:t>
      </w:r>
      <w:r>
        <w:rPr>
          <w:rStyle w:val="sb8d990e2"/>
        </w:rPr>
        <w:t>postępowania, przemawia w równiej mierze za brakiem stosowalności art. 6 do skarg kasacyjnych w systemach prawnych, w których takie skargi wnoszone są przeciwko decyzjom sądowym uznawanym za ostateczne i egzekwowalne na mocy prawa</w:t>
      </w:r>
      <w:r w:rsidRPr="00F65C3E">
        <w:rPr>
          <w:rStyle w:val="sb8d990e2"/>
        </w:rPr>
        <w:t xml:space="preserve"> </w:t>
      </w:r>
      <w:r>
        <w:rPr>
          <w:rStyle w:val="sb8d990e2"/>
        </w:rPr>
        <w:t>krajowego.</w:t>
      </w:r>
    </w:p>
    <w:p w:rsidR="001C1275" w:rsidRPr="00B27EB5" w:rsidRDefault="001C1275" w:rsidP="004E3B28">
      <w:pPr>
        <w:pStyle w:val="s30eec3f8"/>
        <w:spacing w:before="0" w:beforeAutospacing="0" w:after="0" w:afterAutospacing="0"/>
        <w:ind w:firstLine="284"/>
        <w:jc w:val="both"/>
      </w:pPr>
      <w:r>
        <w:rPr>
          <w:rStyle w:val="sb8d990e2"/>
        </w:rPr>
        <w:t xml:space="preserve">Co więcej w paragrafie 47 większość zauważa, że Trybunał uznał również stosowalność art. 6 do postępowań uznanych za podobne do zwykłych postępowań odwoławczych. Zarazem, w paragrafie 48, który ma w zamierzeniu ilustrować ten argument, większość zauważa, że wyrok w sprawie </w:t>
      </w:r>
      <w:r w:rsidRPr="00231223">
        <w:rPr>
          <w:rStyle w:val="s6b621b36"/>
          <w:i/>
          <w:iCs/>
        </w:rPr>
        <w:t>San</w:t>
      </w:r>
      <w:r>
        <w:rPr>
          <w:rStyle w:val="s6b621b36"/>
        </w:rPr>
        <w:t xml:space="preserve"> </w:t>
      </w:r>
      <w:r w:rsidRPr="00231223">
        <w:rPr>
          <w:rStyle w:val="s6b621b36"/>
          <w:i/>
          <w:iCs/>
        </w:rPr>
        <w:t>Leonard</w:t>
      </w:r>
      <w:r>
        <w:rPr>
          <w:rStyle w:val="s6b621b36"/>
        </w:rPr>
        <w:t xml:space="preserve"> </w:t>
      </w:r>
      <w:r w:rsidRPr="00231223">
        <w:rPr>
          <w:rStyle w:val="s6b621b36"/>
          <w:i/>
          <w:iCs/>
        </w:rPr>
        <w:t>Band</w:t>
      </w:r>
      <w:r>
        <w:rPr>
          <w:rStyle w:val="s6b621b36"/>
        </w:rPr>
        <w:t xml:space="preserve"> </w:t>
      </w:r>
      <w:r w:rsidRPr="00231223">
        <w:rPr>
          <w:rStyle w:val="s6b621b36"/>
          <w:i/>
          <w:iCs/>
        </w:rPr>
        <w:t>Club</w:t>
      </w:r>
      <w:r>
        <w:rPr>
          <w:rStyle w:val="sb8d990e2"/>
        </w:rPr>
        <w:t xml:space="preserve"> podkreślał, iż „wniosek o nowy proces" w prawie maltańskim był podobny do skargi [rozpatrywanej] przed sądem kasacyjnym. Niemniej standardowe odwołanie i skarga kasacyjna to dwa bardzo różne środki.</w:t>
      </w:r>
    </w:p>
    <w:p w:rsidR="001C1275" w:rsidRPr="004E3B28" w:rsidRDefault="001C1275" w:rsidP="000E1CF6">
      <w:pPr>
        <w:pStyle w:val="OpiPara"/>
      </w:pPr>
    </w:p>
    <w:p w:rsidR="001C1275" w:rsidRPr="00B26C8C" w:rsidRDefault="001C1275" w:rsidP="000E1CF6">
      <w:pPr>
        <w:pStyle w:val="OpiPara"/>
      </w:pPr>
      <w:r w:rsidRPr="005E2BCA">
        <w:t>5.  </w:t>
      </w:r>
      <w:r>
        <w:rPr>
          <w:rStyle w:val="sb8d990e2"/>
        </w:rPr>
        <w:t>Art. 6 Konwencji wymaga, aby spory dotyczące praw i obowiązków o charakterze cywilnym były rozpatrywane w rozsądnym terminie przez niezawisły i bezstronny sąd ustanowiony ustawą. Sformułowanie tego przepisu nie wyklucza jego stosowalności do nadzwyczajnych środków odwoławczych wnoszonych przeciwko decyzjom sądowym rozstrzygającym o prawach i obowiązkach o charakterze cywilnym stron w sposób ostateczny (w rozumieniu krajowego prawa). Co więcej, art. 6 sformułowano z myślą o zapewnieniu skutecznej ochrony osób zaangażowanych w postępowania cywilne i karne przez niesprawiedliwością proceduralną. Argument teleologiczny przemawia zatem za możliwie najszerszym stosowaniem tego przepisu w odniesieniu do różnych zwyczajnych i nadzwyczajnych środków odwoławczych. W takich okolicznościach bardziej przekonujące wydaje się uznanie, że art. 6 ma zastosowanie – przynajmniej co do zasady – do wszystkich nadzwyczajnych środków odwoławczych w postępowaniach sądowych. Niemniej jeżeli jego zakres ma pozostać ograniczony do pewnych rodzajów środków nadzwyczajnych, kluczową sprawą jest zdefiniowanie tych rodzajów na podstawie precyzyjnych kryteriów.</w:t>
      </w:r>
    </w:p>
    <w:p w:rsidR="001C1275" w:rsidRPr="00B27EB5" w:rsidRDefault="001C1275" w:rsidP="00B26C8C">
      <w:pPr>
        <w:pStyle w:val="s30eec3f8"/>
        <w:spacing w:before="0" w:beforeAutospacing="0" w:after="0" w:afterAutospacing="0"/>
        <w:ind w:firstLine="284"/>
        <w:jc w:val="both"/>
      </w:pPr>
      <w:r>
        <w:rPr>
          <w:rStyle w:val="sb8d990e2"/>
        </w:rPr>
        <w:t>Należy podkreślić, że niniejsze wnioski dotyczą postępowań sądowych. Stosowalność art. 6 w odniesieniu do nadzwyczajnych środków odwoławczych w postępowaniach administracyjnych jest odrębną kwestią, wymagającą oddzielnego zbadania.</w:t>
      </w:r>
    </w:p>
    <w:p w:rsidR="001C1275" w:rsidRPr="008B26FF" w:rsidRDefault="001C1275" w:rsidP="000E1CF6">
      <w:pPr>
        <w:pStyle w:val="OpiPara"/>
      </w:pPr>
      <w:r w:rsidRPr="008B26FF">
        <w:t>6.  </w:t>
      </w:r>
      <w:r>
        <w:rPr>
          <w:rStyle w:val="sb8d990e2"/>
        </w:rPr>
        <w:t xml:space="preserve">Niniejsza sprawa dotyczy również bardzo delikatnej kwestii skutków wyroków Trybunału stwierdzających naruszenie Konwencji w postępowaniach cywilnych lub naruszenie wynikające z decyzji sądowej w sprawie cywilnej. Decyzje sądowe w postępowaniach cywilnych bardzo często służą rozstrzygnięciu sporu pomiędzy stronami o przeciwstawnych interesach. Jeżeli jedna ze stron kwestionuje przed Trybunałem zgodność z Konwencją zastosowanej procedury lub wydanej decyzji, wynik postępowania przed Trybunałem ma wpływ na prawa i interesy pozostałych stron. Mimo że Trybunał rozważa relację pionową (to jest relację pomiędzy skarżącym a Państwem) i orzeka w sprawie naruszeń Konwencji przypisywanych władzom Państwa, wyrok stwierdzający naruszenie praw skarżącego w postępowaniu cywilnym lub wskutek decyzji sądowej w sprawie cywilnej będzie mieć wpływ na ochronę przewidzianą w odniesieniu do praw pozostałych stron postępowania, ma więc z konieczności wymiar poziomy, to jest związany z relacjami pomiędzy stronami prywatnymi. Ciągłe rozszerzanie w orzecznictwie zakresu stosowania praw przewidzianych w Konwencji na relacje pomiędzy stronami prywatnymi (niem.: </w:t>
      </w:r>
      <w:r w:rsidRPr="00231223">
        <w:rPr>
          <w:rStyle w:val="s6b621b36"/>
          <w:i/>
          <w:iCs/>
        </w:rPr>
        <w:t>Drittwirkung</w:t>
      </w:r>
      <w:r>
        <w:rPr>
          <w:rStyle w:val="sb8d990e2"/>
        </w:rPr>
        <w:t>) wzmacnia tę tendencję.</w:t>
      </w:r>
    </w:p>
    <w:p w:rsidR="001C1275" w:rsidRPr="00B27EB5" w:rsidRDefault="001C1275" w:rsidP="008B26FF">
      <w:pPr>
        <w:pStyle w:val="s30eec3f8"/>
        <w:spacing w:before="0" w:beforeAutospacing="0" w:after="0" w:afterAutospacing="0"/>
        <w:ind w:firstLine="284"/>
        <w:jc w:val="both"/>
      </w:pPr>
      <w:r>
        <w:rPr>
          <w:rStyle w:val="sb8d990e2"/>
        </w:rPr>
        <w:t>Ten wpływ wyroków Trybunału byłby jeszcze bardziej znaczący, gdyby stwierdzenie naruszenia Konwencji w postępowaniu cywilnym lub wynikającego z decyzji sądowej w sprawie cywilnej prowadziło do wznowienia</w:t>
      </w:r>
      <w:r w:rsidDel="00973536">
        <w:rPr>
          <w:rStyle w:val="sb8d990e2"/>
        </w:rPr>
        <w:t xml:space="preserve"> </w:t>
      </w:r>
      <w:r>
        <w:rPr>
          <w:rStyle w:val="sb8d990e2"/>
        </w:rPr>
        <w:t xml:space="preserve">takiego postępowania. W uzasadnieniu wyroku w omawianej sprawie całkiem słusznie wskazuje się brak konsensusu pomiędzy Wysokimi Układającymi się Stronami w tej sferze (zob. paragraf 57 wyroku). Zauważa się w nim również, bardzo słusznie, możliwe konsekwencje ponownego rozstrzygnięcia sprawy skarżącej „w kontekście zasad </w:t>
      </w:r>
      <w:r>
        <w:rPr>
          <w:rStyle w:val="s6b621b36"/>
          <w:i/>
          <w:iCs/>
        </w:rPr>
        <w:t>res iudicata</w:t>
      </w:r>
      <w:r>
        <w:rPr>
          <w:rStyle w:val="sb8d990e2"/>
        </w:rPr>
        <w:t xml:space="preserve"> i pewności prawnej w zakończonym postępowaniu cywilnym oraz w kontekście uzasadnionych interesów stron trzecich." (paragraf 72). Niemniej jednak uzasadnienie decyzji wydaje się wyrażać pewne preferencje na rzecz zapewnienia, by istniały możliwości wznowienia</w:t>
      </w:r>
      <w:r w:rsidDel="00973536">
        <w:rPr>
          <w:rStyle w:val="sb8d990e2"/>
        </w:rPr>
        <w:t xml:space="preserve"> </w:t>
      </w:r>
      <w:r>
        <w:rPr>
          <w:rStyle w:val="sb8d990e2"/>
        </w:rPr>
        <w:t>postępowania cywilnego w celu ułatwienia wykonania wyroków Trybunału (paragraf 58). Osobiście wolałbym, by w uzasadnieniu Trybunału zawarte były pewne kryteria kwalifikacyjne.</w:t>
      </w:r>
    </w:p>
    <w:p w:rsidR="001C1275" w:rsidRPr="00B27EB5" w:rsidRDefault="001C1275" w:rsidP="008B26FF">
      <w:pPr>
        <w:pStyle w:val="s30eec3f8"/>
        <w:spacing w:before="0" w:beforeAutospacing="0" w:after="0" w:afterAutospacing="0"/>
        <w:ind w:firstLine="284"/>
        <w:jc w:val="both"/>
      </w:pPr>
      <w:r>
        <w:rPr>
          <w:rStyle w:val="sb8d990e2"/>
        </w:rPr>
        <w:t>Każda strona postępowania cywilnego jest uprawniona do stabilnej ostatecznej decyzji, wydanej w rozsądnym czasie. Ostateczna decyzja, nawet taka, która jest wadliwa z perspektywy Konwencji, tworzy uzasadnione oczekiwania co do swojej stabilności, szczególnie jeżeli strona przeciwna działała w dobrej wierze w sytuacji, w której naruszenia Konwencji nie były oczywiste w świetle istniejącego orzecznictwa Trybunału. Potrzeba zabezpieczenia stabilności ostatecznych decyzji sądowych rozstrzygających w sprawach z udziałem stron prywatnych oraz słusznych interesów wszystkich stron postępowania stanowi silny argument przeciwko ponownemu otwieraniu postępowań sądowych w ślad za wyrokiem Trybunału stwierdzającym naruszenie Konwencji. Wznowienie</w:t>
      </w:r>
      <w:r w:rsidDel="00973536">
        <w:rPr>
          <w:rStyle w:val="sb8d990e2"/>
        </w:rPr>
        <w:t xml:space="preserve"> </w:t>
      </w:r>
      <w:r>
        <w:rPr>
          <w:rStyle w:val="sb8d990e2"/>
        </w:rPr>
        <w:t>takiego postępowania może nawet skutkować naruszeniem praw innych stron chronionych na mocy Konwencji. Niemniej nie sposób wykluczyć, że w niektórych sytuacjach ostateczna decyzja podjęta przez krajowy sąd cywilny doprowadzi do niesprawiedliwości w relacjach pomiędzy stronami prywatnymi na tyle wyraźnych, że sytuację będzie można naprawić wyłącznie uchylając lub zmieniając wydaną decyzję. Jednak ogólnie rzecz biorąc, w sytuacjach omawianego tutaj rodzaju, słusznym zadośćuczynieniem najczęściej będzie odszkodowanie ze strony Państwa.</w:t>
      </w:r>
    </w:p>
    <w:p w:rsidR="001C1275" w:rsidRPr="0087783F" w:rsidRDefault="001C1275" w:rsidP="0087783F">
      <w:pPr>
        <w:pStyle w:val="OpiPara"/>
      </w:pPr>
      <w:r w:rsidRPr="0087783F">
        <w:t>7.  </w:t>
      </w:r>
      <w:r>
        <w:rPr>
          <w:rStyle w:val="sb8d990e2"/>
        </w:rPr>
        <w:t>Kwestia skutków wyroków Trybunału jest nieodłącznie związana z kwestią postępowania przed Trybunałem. Wszystkie zasady proceduralne muszą być dostosowane do celu i przedmiotu postępowania i muszą gwarantować skuteczną ochronę uzasadnionych interesów wszystkich zainteresowanych stron. Co więcej, muszą one gwarantować bezsporną legitymację proceduralną wydawanych decyzji.</w:t>
      </w:r>
    </w:p>
    <w:p w:rsidR="001C1275" w:rsidRPr="00B27EB5" w:rsidRDefault="001C1275" w:rsidP="0087783F">
      <w:pPr>
        <w:pStyle w:val="s30eec3f8"/>
        <w:spacing w:before="0" w:beforeAutospacing="0" w:after="0" w:afterAutospacing="0"/>
        <w:ind w:firstLine="284"/>
        <w:jc w:val="both"/>
      </w:pPr>
      <w:r>
        <w:rPr>
          <w:rStyle w:val="sb8d990e2"/>
        </w:rPr>
        <w:t xml:space="preserve">Sprawiedliwość proceduralna wymaga w szczególności, by wszystkie osoby, których dotyczy wynik postępowania, miały zagwarantowane prawo do wysłuchania. Jak zauważył Seneka w </w:t>
      </w:r>
      <w:r>
        <w:rPr>
          <w:rStyle w:val="s6b621b36"/>
        </w:rPr>
        <w:t>Medei</w:t>
      </w:r>
      <w:r>
        <w:rPr>
          <w:rStyle w:val="sb8d990e2"/>
        </w:rPr>
        <w:t>:</w:t>
      </w:r>
      <w:r>
        <w:rPr>
          <w:rStyle w:val="s6b621b36"/>
        </w:rPr>
        <w:t xml:space="preserve"> </w:t>
      </w:r>
      <w:r>
        <w:rPr>
          <w:rStyle w:val="s6b621b36"/>
          <w:i/>
          <w:iCs/>
        </w:rPr>
        <w:t>Qui statuit aliquid parte inaudita altera, aequum licet statuerit, haud aequus fuit</w:t>
      </w:r>
      <w:r>
        <w:rPr>
          <w:rStyle w:val="sb8d990e2"/>
        </w:rPr>
        <w:t>. Im bardziej dalekosiężne są skutki wyroków Trybunału, tym bardziej istotne staje się zapewnienie, by wszystkie zainteresowane osoby miały zagwarantowane prawo do bycia wysłuchanym. Rozwój w orzecznictwie i praktyce w odniesieniu do skutków i wykonania wyroków Trybunału może wymagać dostosowań w obowiązujących zasadach proceduralnych.</w:t>
      </w:r>
    </w:p>
    <w:p w:rsidR="001C1275" w:rsidRPr="0087783F" w:rsidRDefault="001C1275" w:rsidP="000E1CF6">
      <w:pPr>
        <w:pStyle w:val="OpiPara"/>
      </w:pPr>
      <w:r w:rsidRPr="0087783F">
        <w:t>8.  </w:t>
      </w:r>
      <w:r>
        <w:rPr>
          <w:rStyle w:val="sb8d990e2"/>
        </w:rPr>
        <w:t>Rozpatrując wnioski dotyczące domniemanych naruszeń praw człowieka w postępowaniach cywilnych lub naruszeń wynikających z decyzji sądowych w sprawach cywilnych oraz rozstrzygając spory pomiędzy jednostkami lub osobami prawnymi, regulowane przepisami prawa prywatnego, nie można zapomnieć o prawach strony przeciwnej względem strony skarżącej. Jest to ważne z tego powodu, że stwierdzenie przez Trybunał naruszenia Konwencji przez decyzję sądową w sprawie cywilnej może mieć konsekwencje praktyczne i prawne dla innych stron postępowania cywilnego oraz w kontekście realizacji ich praw. Jest to szczególnie dotkliwy problem w przypadku skarg przeciwko Państwom, których systemy prawne (jak to ma miejsce w przypadku Ukrainy), umożliwiają wznowienie</w:t>
      </w:r>
      <w:r w:rsidDel="00973536">
        <w:rPr>
          <w:rStyle w:val="sb8d990e2"/>
        </w:rPr>
        <w:t xml:space="preserve"> </w:t>
      </w:r>
      <w:r>
        <w:rPr>
          <w:rStyle w:val="sb8d990e2"/>
        </w:rPr>
        <w:t>postępowania cywilnego w ślad za wyrokiem Trybunału.</w:t>
      </w:r>
    </w:p>
    <w:p w:rsidR="001C1275" w:rsidRPr="00B27EB5" w:rsidRDefault="001C1275" w:rsidP="0087783F">
      <w:pPr>
        <w:pStyle w:val="s30eec3f8"/>
        <w:spacing w:before="0" w:beforeAutospacing="0" w:after="0" w:afterAutospacing="0"/>
        <w:ind w:firstLine="284"/>
        <w:jc w:val="both"/>
      </w:pPr>
      <w:r>
        <w:rPr>
          <w:rStyle w:val="sb8d990e2"/>
        </w:rPr>
        <w:t>W tym miejscu należy zauważyć, że w swoim wyroku w sprawie</w:t>
      </w:r>
      <w:r w:rsidRPr="00086B80">
        <w:rPr>
          <w:rStyle w:val="sb8d990e2"/>
          <w:i/>
          <w:iCs/>
        </w:rPr>
        <w:t xml:space="preserve"> </w:t>
      </w:r>
      <w:r w:rsidRPr="00086B80">
        <w:rPr>
          <w:rStyle w:val="s6b621b36"/>
          <w:i/>
          <w:iCs/>
        </w:rPr>
        <w:t>Ruiz-Mateos przeciwko Hiszpanii</w:t>
      </w:r>
      <w:r>
        <w:rPr>
          <w:rStyle w:val="sb8d990e2"/>
        </w:rPr>
        <w:t xml:space="preserve"> (23 czerwca 1993 r., Seria A nr 262), Trybunał rozpatrzył prawo zainteresowanych osób do bycia wysłuchanym w postępowaniu badającym konstytucyjność. Powstała wówczas kwestia w kontekście relacji pomiędzy postępowaniem cywilnym a postępowaniem w sprawie badania konstytucyjności. W tej sprawie sąd hiszpański, w toku sporu cywilnego, skierował pytanie wstępne do Trybunału Konstytucyjnego w kwestii zgodności z konstytucją ustawodawstwa mającego zastosowanie w sprawie. Stwierdzono naruszenie Konwencji na tej podstawie, że w postępowaniu mającym na celu konkretną kontrolę ustawodawstwa przed Trybunałem Konstytucyjnym władze hiszpańskie nie zabezpieczyły prawa jednej ze stron postępowania cywilnego do przedłożenia uwag dotyczących stanowiska strony przeciwnej w zakresie kwestii konstytucjonalności przepisów (§ 67).</w:t>
      </w:r>
    </w:p>
    <w:p w:rsidR="001C1275" w:rsidRPr="0087783F" w:rsidRDefault="001C1275" w:rsidP="0087783F">
      <w:pPr>
        <w:pStyle w:val="OpiPara"/>
      </w:pPr>
      <w:r w:rsidRPr="0087783F">
        <w:t>9.  </w:t>
      </w:r>
      <w:r>
        <w:rPr>
          <w:rStyle w:val="sb8d990e2"/>
        </w:rPr>
        <w:t xml:space="preserve">Jest niezaprzeczalnym faktem, że procedura, w ramach której Trybunał rozpatruje skargi indywidualne, ma wiele szczególnych cech odróżniających ją od procedur przed różnymi krajowymi sądami najwyższymi. Choć wyrok Trybunału może być ważny w kontekście realizacji praw pozostałych stron postępowania krajowego, nie określa on ich praw i obowiązków w sposób bezpośrednio skuteczny w Układających się Stronach. Niemniej biorąc pod uwagę, że w rozważanych sytuacjach wynik postępowania przed Trybunałem ma często wpływ na strony trzecie, podejście obrane w sprawie </w:t>
      </w:r>
      <w:r w:rsidRPr="00231223">
        <w:rPr>
          <w:rStyle w:val="s6b621b36"/>
          <w:i/>
          <w:iCs/>
        </w:rPr>
        <w:t>Ruiz</w:t>
      </w:r>
      <w:r>
        <w:rPr>
          <w:rStyle w:val="s6b621b36"/>
        </w:rPr>
        <w:t>-</w:t>
      </w:r>
      <w:r w:rsidRPr="00231223">
        <w:rPr>
          <w:rStyle w:val="s6b621b36"/>
          <w:i/>
          <w:iCs/>
        </w:rPr>
        <w:t>Mateos</w:t>
      </w:r>
      <w:r>
        <w:rPr>
          <w:rStyle w:val="sb8d990e2"/>
        </w:rPr>
        <w:t xml:space="preserve"> w kontekście relacji pomiędzy postępowaniem cywilnym a postępowaniem mającym na celu stwierdzenie konstytucjonalności ustawodawstwa, sprawdza się również w kontekście relacji pomiędzy krajowymi postępowaniami cywilnymi a postępowaniami przed Europejskim Trybunałem Praw Człowieka.</w:t>
      </w:r>
    </w:p>
    <w:p w:rsidR="001C1275" w:rsidRPr="00B27EB5" w:rsidRDefault="001C1275" w:rsidP="0087783F">
      <w:pPr>
        <w:pStyle w:val="s30eec3f8"/>
        <w:spacing w:before="0" w:beforeAutospacing="0" w:after="0" w:afterAutospacing="0"/>
        <w:ind w:firstLine="284"/>
        <w:jc w:val="both"/>
      </w:pPr>
      <w:r>
        <w:rPr>
          <w:rStyle w:val="sb8d990e2"/>
        </w:rPr>
        <w:t>Konwencja nie gwarantuje pozostałym stronom postępowania krajowego, których dotyczy zaskarżona decyzja sądowa, prawa do wysłuchania przez Trybunał. Jest prawdą, że na podstawie art. 36 ust. 2 Konwencji, uzupełnionego przez art. 44 § 3 Regulaminu Trybunału, Przewodniczący Izby może, w interesie wymiaru sprawiedliwości, upoważnić lub zaprosić każdą zainteresowaną osobę, inną niż osoba skarżąca, do przedkładania pisemnych uwag lub, w wyjątkowych okolicznościach, do uczestnictwa w rozprawach. Trybunał robi niekiedy użytek z tej możliwości, szczególnie w sprawach z zakresu prawa rodzinnego. Dla mnie obrane podejście jest uderzająco nieadekwatne, jako że wspomniana możliwość wysłuchania opinii zainteresowanej osoby, pozostawiona w gestii Przewodniczącego Izby, nie jest równa gwarancji prawa do wysłuchania. Nie zawsze też opcja ta jest w odniesieniu do praw stron trzecich realizowana.</w:t>
      </w:r>
    </w:p>
    <w:p w:rsidR="001C1275" w:rsidRPr="00B27EB5" w:rsidRDefault="001C1275" w:rsidP="0087783F">
      <w:pPr>
        <w:pStyle w:val="s30eec3f8"/>
        <w:spacing w:before="0" w:beforeAutospacing="0" w:after="0" w:afterAutospacing="0"/>
        <w:ind w:firstLine="284"/>
        <w:jc w:val="both"/>
      </w:pPr>
      <w:r>
        <w:rPr>
          <w:rStyle w:val="sb8d990e2"/>
        </w:rPr>
        <w:t>Zasiadając w składzie rozstrzygającym w sprawach dotyczących naruszenia Konwencji w postępowaniu cywilnym lub naruszenia wynikającego z decyzji sądowej podjętej w sprawie cywilnej, nieodmiennie się zastanawiam, czy pozostałym zainteresowanym stronom nie należałoby umożliwić przedstawienia uwag Trybunałowi. Czy słuszne jest wydanie decyzji bez wysłuchania pozostałych zainteresowanych stron? Zapewnienie im prawa do wysłuchania nie tylko nadałoby większą skuteczność zasadzie sprawiedliwości proceduralnej, ale w wielu przypadkach pozwoliłoby na lepszy wgląd w rozpatrywane sprawy.</w:t>
      </w:r>
    </w:p>
    <w:p w:rsidR="001C1275" w:rsidRPr="00B27EB5" w:rsidRDefault="001C1275" w:rsidP="0087783F">
      <w:pPr>
        <w:pStyle w:val="s30eec3f8"/>
        <w:spacing w:before="0" w:beforeAutospacing="0" w:after="0" w:afterAutospacing="0"/>
        <w:ind w:firstLine="284"/>
        <w:jc w:val="both"/>
      </w:pPr>
      <w:r>
        <w:rPr>
          <w:rStyle w:val="sb8d990e2"/>
        </w:rPr>
        <w:t>Ze względu na rozwój w orzecznictwie, o którym mowa powyżej, zasady mające zastosowanie do procedury rozpatrywania skarg przez Trybunał nie zapewniają w wystarczającym stopniu legitymacji proceduralnej podejmowanym decyzjom. Biorąc to wszystko pod uwagę, czas przemyśleć na nowo postępowanie przed Trybunałem, w celu lepszego przystosowania go do wymagań sprawiedliwości proceduralnej.</w:t>
      </w:r>
    </w:p>
    <w:p w:rsidR="001C1275" w:rsidRPr="001922A7" w:rsidRDefault="001C1275" w:rsidP="0087783F">
      <w:pPr>
        <w:pStyle w:val="OpiPara"/>
      </w:pPr>
    </w:p>
    <w:sectPr w:rsidR="001C1275" w:rsidRPr="001922A7" w:rsidSect="00BC78CC">
      <w:headerReference w:type="even" r:id="rId12"/>
      <w:headerReference w:type="default" r:id="rId13"/>
      <w:footnotePr>
        <w:numRestart w:val="eachPage"/>
      </w:footnotePr>
      <w:pgSz w:w="11906" w:h="16838" w:code="9"/>
      <w:pgMar w:top="2274" w:right="2274" w:bottom="2274" w:left="2274" w:header="1701"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275" w:rsidRDefault="001C1275" w:rsidP="00014566">
      <w:r>
        <w:separator/>
      </w:r>
    </w:p>
  </w:endnote>
  <w:endnote w:type="continuationSeparator" w:id="0">
    <w:p w:rsidR="001C1275" w:rsidRDefault="001C1275" w:rsidP="00014566">
      <w:r>
        <w:continuationSeparator/>
      </w:r>
    </w:p>
  </w:endnote>
  <w:endnote w:type="continuationNotice" w:id="1">
    <w:p w:rsidR="001C1275" w:rsidRDefault="001C127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75" w:rsidRPr="00150BFA" w:rsidRDefault="001C1275" w:rsidP="001B4C2E">
    <w:pPr>
      <w:jc w:val="center"/>
      <w:rPr>
        <w:sz w:val="4"/>
        <w:szCs w:val="4"/>
      </w:rPr>
    </w:pPr>
  </w:p>
  <w:p w:rsidR="001C1275" w:rsidRDefault="001C12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75" w:rsidRPr="00150BFA" w:rsidRDefault="001C1275" w:rsidP="001B4C2E">
    <w:pPr>
      <w:jc w:val="center"/>
    </w:pPr>
    <w:r w:rsidRPr="00807F53">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i1028" type="#_x0000_t75" style="width:60pt;height:48.75pt;visibility:visible">
          <v:imagedata r:id="rId1" o:title=""/>
        </v:shape>
      </w:pict>
    </w:r>
  </w:p>
  <w:p w:rsidR="001C1275" w:rsidRDefault="001C1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275" w:rsidRDefault="001C1275" w:rsidP="00014566">
      <w:r>
        <w:separator/>
      </w:r>
    </w:p>
  </w:footnote>
  <w:footnote w:type="continuationSeparator" w:id="0">
    <w:p w:rsidR="001C1275" w:rsidRDefault="001C1275" w:rsidP="00014566">
      <w:r>
        <w:continuationSeparator/>
      </w:r>
    </w:p>
  </w:footnote>
  <w:footnote w:type="continuationNotice" w:id="1">
    <w:p w:rsidR="001C1275" w:rsidRDefault="001C12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75" w:rsidRPr="000E6DEB" w:rsidRDefault="001C1275" w:rsidP="00A8515B">
    <w:pPr>
      <w:pStyle w:val="Kopflinks"/>
      <w:rPr>
        <w:lang w:val="pl-PL"/>
      </w:rPr>
    </w:pPr>
    <w:r>
      <w:tab/>
    </w:r>
    <w:r w:rsidRPr="000E6DEB">
      <w:rPr>
        <w:lang w:val="pl-PL"/>
      </w:rPr>
      <w:t xml:space="preserve">WYROK </w:t>
    </w:r>
    <w:r w:rsidRPr="000E6DEB">
      <w:rPr>
        <w:sz w:val="20"/>
        <w:szCs w:val="20"/>
        <w:lang w:val="pl-PL"/>
      </w:rPr>
      <w:t xml:space="preserve">BOCHAN </w:t>
    </w:r>
    <w:r>
      <w:rPr>
        <w:caps w:val="0"/>
        <w:sz w:val="20"/>
        <w:szCs w:val="20"/>
        <w:lang w:val="pl-PL"/>
      </w:rPr>
      <w:t>PRZECIWKO</w:t>
    </w:r>
    <w:r w:rsidRPr="000E6DEB">
      <w:rPr>
        <w:sz w:val="20"/>
        <w:szCs w:val="20"/>
        <w:lang w:val="pl-PL"/>
      </w:rPr>
      <w:t xml:space="preserve"> UKRAIN</w:t>
    </w:r>
    <w:r>
      <w:rPr>
        <w:sz w:val="20"/>
        <w:szCs w:val="20"/>
        <w:lang w:val="pl-PL"/>
      </w:rPr>
      <w:t>I</w:t>
    </w:r>
    <w:r w:rsidRPr="000E6DEB">
      <w:rPr>
        <w:sz w:val="20"/>
        <w:szCs w:val="20"/>
        <w:lang w:val="pl-PL"/>
      </w:rPr>
      <w:t>E (</w:t>
    </w:r>
    <w:r>
      <w:rPr>
        <w:caps w:val="0"/>
        <w:sz w:val="20"/>
        <w:szCs w:val="20"/>
        <w:lang w:val="pl-PL"/>
      </w:rPr>
      <w:t>nr</w:t>
    </w:r>
    <w:r>
      <w:rPr>
        <w:sz w:val="20"/>
        <w:szCs w:val="20"/>
        <w:lang w:val="pl-PL"/>
      </w:rPr>
      <w:t xml:space="preserve"> 2)</w:t>
    </w:r>
    <w:r w:rsidRPr="000E6DEB">
      <w:rPr>
        <w:lang w:val="pl-PL"/>
      </w:rPr>
      <w:tab/>
    </w:r>
    <w:r w:rsidRPr="000E6DEB">
      <w:rPr>
        <w:lang w:val="pl-PL"/>
      </w:rPr>
      <w:fldChar w:fldCharType="begin"/>
    </w:r>
    <w:r w:rsidRPr="000E6DEB">
      <w:rPr>
        <w:lang w:val="pl-PL"/>
      </w:rPr>
      <w:instrText xml:space="preserve"> PAGE  \* MERGEFORMAT </w:instrText>
    </w:r>
    <w:r w:rsidRPr="000E6DEB">
      <w:rPr>
        <w:lang w:val="pl-PL"/>
      </w:rPr>
      <w:fldChar w:fldCharType="separate"/>
    </w:r>
    <w:r>
      <w:rPr>
        <w:noProof/>
        <w:lang w:val="pl-PL"/>
      </w:rPr>
      <w:t>27</w:t>
    </w:r>
    <w:r w:rsidRPr="000E6DEB">
      <w:rPr>
        <w:lang w:val="pl-PL"/>
      </w:rPr>
      <w:fldChar w:fldCharType="end"/>
    </w:r>
  </w:p>
  <w:p w:rsidR="001C1275" w:rsidRPr="000E6DEB" w:rsidRDefault="001C1275" w:rsidP="00E3356A">
    <w:pPr>
      <w:pStyle w:val="ECHRHeader"/>
      <w:tabs>
        <w:tab w:val="clear" w:pos="3686"/>
        <w:tab w:val="center" w:pos="3648"/>
      </w:tabs>
      <w:ind w:right="1032"/>
      <w:jc w:val="center"/>
      <w:rPr>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75" w:rsidRPr="00A45145" w:rsidRDefault="001C1275" w:rsidP="001B4C2E">
    <w:pPr>
      <w:jc w:val="center"/>
    </w:pPr>
    <w:r w:rsidRPr="00807F53">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i1026" type="#_x0000_t75" style="width:233.25pt;height:96pt;visibility:visible">
          <v:imagedata r:id="rId1" o:title=""/>
        </v:shape>
      </w:pict>
    </w:r>
  </w:p>
  <w:p w:rsidR="001C1275" w:rsidRPr="00D31801" w:rsidRDefault="001C1275">
    <w:pPr>
      <w:pStyle w:val="Header"/>
      <w:ind w:left="-142"/>
      <w:jc w:val="center"/>
      <w:rPr>
        <w:sz w:val="4"/>
        <w:szCs w:val="4"/>
      </w:rPr>
    </w:pPr>
  </w:p>
  <w:p w:rsidR="001C1275" w:rsidRDefault="001C12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75" w:rsidRPr="000E6DEB" w:rsidRDefault="001C1275" w:rsidP="00EE1DA9">
    <w:pPr>
      <w:pStyle w:val="ECHRHeader"/>
      <w:rPr>
        <w:lang w:val="pl-PL"/>
      </w:rPr>
    </w:pPr>
    <w:r w:rsidRPr="000E6DEB">
      <w:rPr>
        <w:rStyle w:val="PageNumber"/>
        <w:lang w:val="pl-PL"/>
      </w:rPr>
      <w:fldChar w:fldCharType="begin"/>
    </w:r>
    <w:r w:rsidRPr="000E6DEB">
      <w:rPr>
        <w:rStyle w:val="PageNumber"/>
        <w:lang w:val="pl-PL"/>
      </w:rPr>
      <w:instrText xml:space="preserve"> PAGE </w:instrText>
    </w:r>
    <w:r w:rsidRPr="000E6DEB">
      <w:rPr>
        <w:rStyle w:val="PageNumber"/>
        <w:lang w:val="pl-PL"/>
      </w:rPr>
      <w:fldChar w:fldCharType="separate"/>
    </w:r>
    <w:r>
      <w:rPr>
        <w:rStyle w:val="PageNumber"/>
        <w:noProof/>
        <w:lang w:val="pl-PL"/>
      </w:rPr>
      <w:t>28</w:t>
    </w:r>
    <w:r w:rsidRPr="000E6DEB">
      <w:rPr>
        <w:rStyle w:val="PageNumber"/>
        <w:lang w:val="pl-PL"/>
      </w:rPr>
      <w:fldChar w:fldCharType="end"/>
    </w:r>
    <w:r w:rsidRPr="000E6DEB">
      <w:rPr>
        <w:lang w:val="pl-PL"/>
      </w:rPr>
      <w:tab/>
      <w:t xml:space="preserve">WYROK </w:t>
    </w:r>
    <w:r w:rsidRPr="000E6DEB">
      <w:rPr>
        <w:sz w:val="20"/>
        <w:szCs w:val="20"/>
        <w:lang w:val="pl-PL"/>
      </w:rPr>
      <w:t xml:space="preserve">BOCHAN </w:t>
    </w:r>
    <w:r>
      <w:rPr>
        <w:caps/>
        <w:sz w:val="20"/>
        <w:szCs w:val="20"/>
        <w:lang w:val="pl-PL"/>
      </w:rPr>
      <w:t>PRZECIWKO</w:t>
    </w:r>
    <w:r w:rsidRPr="000E6DEB">
      <w:rPr>
        <w:sz w:val="20"/>
        <w:szCs w:val="20"/>
        <w:lang w:val="pl-PL"/>
      </w:rPr>
      <w:t xml:space="preserve"> UKRAIN</w:t>
    </w:r>
    <w:r>
      <w:rPr>
        <w:sz w:val="20"/>
        <w:szCs w:val="20"/>
        <w:lang w:val="pl-PL"/>
      </w:rPr>
      <w:t>I</w:t>
    </w:r>
    <w:r w:rsidRPr="000E6DEB">
      <w:rPr>
        <w:sz w:val="20"/>
        <w:szCs w:val="20"/>
        <w:lang w:val="pl-PL"/>
      </w:rPr>
      <w:t>E (</w:t>
    </w:r>
    <w:r>
      <w:rPr>
        <w:sz w:val="20"/>
        <w:szCs w:val="20"/>
        <w:lang w:val="pl-PL"/>
      </w:rPr>
      <w:t>nr 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75" w:rsidRPr="000E6DEB" w:rsidRDefault="001C1275" w:rsidP="00FA17DA">
    <w:pPr>
      <w:pStyle w:val="ECHRHeader"/>
      <w:jc w:val="center"/>
      <w:rPr>
        <w:lang w:val="pl-PL"/>
      </w:rPr>
    </w:pPr>
    <w:r w:rsidRPr="000E6DEB">
      <w:rPr>
        <w:rStyle w:val="PageNumber"/>
        <w:lang w:val="pl-PL"/>
      </w:rPr>
      <w:fldChar w:fldCharType="begin"/>
    </w:r>
    <w:r w:rsidRPr="000E6DEB">
      <w:rPr>
        <w:rStyle w:val="PageNumber"/>
        <w:lang w:val="pl-PL"/>
      </w:rPr>
      <w:instrText xml:space="preserve"> PAGE </w:instrText>
    </w:r>
    <w:r w:rsidRPr="000E6DEB">
      <w:rPr>
        <w:rStyle w:val="PageNumber"/>
        <w:lang w:val="pl-PL"/>
      </w:rPr>
      <w:fldChar w:fldCharType="separate"/>
    </w:r>
    <w:r>
      <w:rPr>
        <w:rStyle w:val="PageNumber"/>
        <w:noProof/>
        <w:lang w:val="pl-PL"/>
      </w:rPr>
      <w:t>38</w:t>
    </w:r>
    <w:r w:rsidRPr="000E6DEB">
      <w:rPr>
        <w:rStyle w:val="PageNumber"/>
        <w:lang w:val="pl-PL"/>
      </w:rPr>
      <w:fldChar w:fldCharType="end"/>
    </w:r>
    <w:r w:rsidRPr="000E6DEB">
      <w:rPr>
        <w:lang w:val="pl-PL"/>
      </w:rPr>
      <w:tab/>
      <w:t xml:space="preserve">WYROK </w:t>
    </w:r>
    <w:r w:rsidRPr="000E6DEB">
      <w:rPr>
        <w:sz w:val="20"/>
        <w:szCs w:val="20"/>
        <w:lang w:val="pl-PL"/>
      </w:rPr>
      <w:t xml:space="preserve">BOCHAN </w:t>
    </w:r>
    <w:r>
      <w:rPr>
        <w:caps/>
        <w:sz w:val="20"/>
        <w:szCs w:val="20"/>
        <w:lang w:val="pl-PL"/>
      </w:rPr>
      <w:t>PRZECIWKO</w:t>
    </w:r>
    <w:r w:rsidRPr="000E6DEB">
      <w:rPr>
        <w:sz w:val="20"/>
        <w:szCs w:val="20"/>
        <w:lang w:val="pl-PL"/>
      </w:rPr>
      <w:t xml:space="preserve"> UKRAIN</w:t>
    </w:r>
    <w:r>
      <w:rPr>
        <w:sz w:val="20"/>
        <w:szCs w:val="20"/>
        <w:lang w:val="pl-PL"/>
      </w:rPr>
      <w:t>I</w:t>
    </w:r>
    <w:r w:rsidRPr="000E6DEB">
      <w:rPr>
        <w:sz w:val="20"/>
        <w:szCs w:val="20"/>
        <w:lang w:val="pl-PL"/>
      </w:rPr>
      <w:t>E (</w:t>
    </w:r>
    <w:r>
      <w:rPr>
        <w:sz w:val="20"/>
        <w:szCs w:val="20"/>
        <w:lang w:val="pl-PL"/>
      </w:rPr>
      <w:t>nr 2)</w:t>
    </w:r>
    <w:r w:rsidRPr="000E6DEB">
      <w:rPr>
        <w:sz w:val="20"/>
        <w:szCs w:val="20"/>
        <w:lang w:val="pl-PL"/>
      </w:rPr>
      <w:t xml:space="preserve"> – </w:t>
    </w:r>
    <w:r w:rsidRPr="000E6DEB">
      <w:rPr>
        <w:lang w:val="pl-PL"/>
      </w:rPr>
      <w:tab/>
    </w:r>
    <w:r w:rsidRPr="000E6DEB">
      <w:rPr>
        <w:lang w:val="pl-PL"/>
      </w:rPr>
      <w:fldChar w:fldCharType="begin"/>
    </w:r>
    <w:r w:rsidRPr="000E6DEB">
      <w:rPr>
        <w:lang w:val="pl-PL"/>
      </w:rPr>
      <w:instrText xml:space="preserve"> PAGE  \* MERGEFORMAT </w:instrText>
    </w:r>
    <w:r w:rsidRPr="000E6DEB">
      <w:rPr>
        <w:lang w:val="pl-PL"/>
      </w:rPr>
      <w:fldChar w:fldCharType="separate"/>
    </w:r>
    <w:r>
      <w:rPr>
        <w:noProof/>
        <w:lang w:val="pl-PL"/>
      </w:rPr>
      <w:t>38</w:t>
    </w:r>
    <w:r w:rsidRPr="000E6DEB">
      <w:rPr>
        <w:lang w:val="pl-PL"/>
      </w:rPr>
      <w:fldChar w:fldCharType="end"/>
    </w:r>
    <w:r w:rsidRPr="000E6DEB">
      <w:rPr>
        <w:sz w:val="20"/>
        <w:szCs w:val="20"/>
        <w:lang w:val="pl-PL"/>
      </w:rPr>
      <w:br/>
    </w:r>
    <w:r>
      <w:rPr>
        <w:sz w:val="20"/>
        <w:szCs w:val="20"/>
        <w:lang w:val="pl-PL"/>
      </w:rPr>
      <w:t>OPINIE ODRĘBNE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75" w:rsidRPr="000E6DEB" w:rsidRDefault="001C1275" w:rsidP="00057D75">
    <w:pPr>
      <w:pStyle w:val="Kopflinks"/>
      <w:jc w:val="center"/>
      <w:rPr>
        <w:lang w:val="pl-PL"/>
      </w:rPr>
    </w:pPr>
    <w:r>
      <w:rPr>
        <w:sz w:val="20"/>
        <w:szCs w:val="20"/>
        <w:lang w:val="en-US"/>
      </w:rPr>
      <w:tab/>
    </w:r>
    <w:r w:rsidRPr="000E6DEB">
      <w:rPr>
        <w:lang w:val="pl-PL"/>
      </w:rPr>
      <w:t xml:space="preserve">WYROK </w:t>
    </w:r>
    <w:r w:rsidRPr="000E6DEB">
      <w:rPr>
        <w:sz w:val="20"/>
        <w:szCs w:val="20"/>
        <w:lang w:val="pl-PL"/>
      </w:rPr>
      <w:t xml:space="preserve">BOCHAN </w:t>
    </w:r>
    <w:r>
      <w:rPr>
        <w:caps w:val="0"/>
        <w:sz w:val="20"/>
        <w:szCs w:val="20"/>
        <w:lang w:val="pl-PL"/>
      </w:rPr>
      <w:t>PRZECIWKO</w:t>
    </w:r>
    <w:r w:rsidRPr="000E6DEB">
      <w:rPr>
        <w:sz w:val="20"/>
        <w:szCs w:val="20"/>
        <w:lang w:val="pl-PL"/>
      </w:rPr>
      <w:t xml:space="preserve"> UKRAIN</w:t>
    </w:r>
    <w:r>
      <w:rPr>
        <w:sz w:val="20"/>
        <w:szCs w:val="20"/>
        <w:lang w:val="pl-PL"/>
      </w:rPr>
      <w:t>I</w:t>
    </w:r>
    <w:r w:rsidRPr="000E6DEB">
      <w:rPr>
        <w:sz w:val="20"/>
        <w:szCs w:val="20"/>
        <w:lang w:val="pl-PL"/>
      </w:rPr>
      <w:t>E (</w:t>
    </w:r>
    <w:r>
      <w:rPr>
        <w:caps w:val="0"/>
        <w:sz w:val="20"/>
        <w:szCs w:val="20"/>
        <w:lang w:val="pl-PL"/>
      </w:rPr>
      <w:t>nr</w:t>
    </w:r>
    <w:r>
      <w:rPr>
        <w:sz w:val="20"/>
        <w:szCs w:val="20"/>
        <w:lang w:val="pl-PL"/>
      </w:rPr>
      <w:t xml:space="preserve"> 2)</w:t>
    </w:r>
    <w:r w:rsidRPr="000E6DEB">
      <w:rPr>
        <w:sz w:val="20"/>
        <w:szCs w:val="20"/>
        <w:lang w:val="pl-PL"/>
      </w:rPr>
      <w:t xml:space="preserve"> – </w:t>
    </w:r>
    <w:r w:rsidRPr="000E6DEB">
      <w:rPr>
        <w:lang w:val="pl-PL"/>
      </w:rPr>
      <w:tab/>
    </w:r>
    <w:r w:rsidRPr="000E6DEB">
      <w:rPr>
        <w:lang w:val="pl-PL"/>
      </w:rPr>
      <w:fldChar w:fldCharType="begin"/>
    </w:r>
    <w:r w:rsidRPr="000E6DEB">
      <w:rPr>
        <w:lang w:val="pl-PL"/>
      </w:rPr>
      <w:instrText xml:space="preserve"> PAGE  \* MERGEFORMAT </w:instrText>
    </w:r>
    <w:r w:rsidRPr="000E6DEB">
      <w:rPr>
        <w:lang w:val="pl-PL"/>
      </w:rPr>
      <w:fldChar w:fldCharType="separate"/>
    </w:r>
    <w:r>
      <w:rPr>
        <w:noProof/>
        <w:lang w:val="pl-PL"/>
      </w:rPr>
      <w:t>37</w:t>
    </w:r>
    <w:r w:rsidRPr="000E6DEB">
      <w:rPr>
        <w:lang w:val="pl-PL"/>
      </w:rPr>
      <w:fldChar w:fldCharType="end"/>
    </w:r>
    <w:r w:rsidRPr="000E6DEB">
      <w:rPr>
        <w:sz w:val="20"/>
        <w:szCs w:val="20"/>
        <w:lang w:val="pl-PL"/>
      </w:rPr>
      <w:br/>
    </w:r>
    <w:r>
      <w:rPr>
        <w:sz w:val="20"/>
        <w:szCs w:val="20"/>
        <w:lang w:val="pl-PL"/>
      </w:rPr>
      <w:t>opinie ODRĘBNE</w:t>
    </w:r>
  </w:p>
  <w:p w:rsidR="001C1275" w:rsidRPr="000E6DEB" w:rsidRDefault="001C1275" w:rsidP="00E3356A">
    <w:pPr>
      <w:pStyle w:val="ECHRHeader"/>
      <w:tabs>
        <w:tab w:val="clear" w:pos="3686"/>
        <w:tab w:val="center" w:pos="3648"/>
      </w:tabs>
      <w:ind w:right="1032"/>
      <w:jc w:val="center"/>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9A7038"/>
    <w:lvl w:ilvl="0">
      <w:start w:val="1"/>
      <w:numFmt w:val="decimal"/>
      <w:lvlText w:val="%1."/>
      <w:lvlJc w:val="left"/>
      <w:pPr>
        <w:tabs>
          <w:tab w:val="num" w:pos="1492"/>
        </w:tabs>
        <w:ind w:left="1492" w:hanging="360"/>
      </w:pPr>
    </w:lvl>
  </w:abstractNum>
  <w:abstractNum w:abstractNumId="1">
    <w:nsid w:val="FFFFFF7D"/>
    <w:multiLevelType w:val="singleLevel"/>
    <w:tmpl w:val="B90ECFBC"/>
    <w:lvl w:ilvl="0">
      <w:start w:val="1"/>
      <w:numFmt w:val="decimal"/>
      <w:lvlText w:val="%1."/>
      <w:lvlJc w:val="left"/>
      <w:pPr>
        <w:tabs>
          <w:tab w:val="num" w:pos="1209"/>
        </w:tabs>
        <w:ind w:left="1209" w:hanging="360"/>
      </w:pPr>
    </w:lvl>
  </w:abstractNum>
  <w:abstractNum w:abstractNumId="2">
    <w:nsid w:val="FFFFFF7E"/>
    <w:multiLevelType w:val="singleLevel"/>
    <w:tmpl w:val="C5B8BEFC"/>
    <w:lvl w:ilvl="0">
      <w:start w:val="1"/>
      <w:numFmt w:val="decimal"/>
      <w:lvlText w:val="%1."/>
      <w:lvlJc w:val="left"/>
      <w:pPr>
        <w:tabs>
          <w:tab w:val="num" w:pos="926"/>
        </w:tabs>
        <w:ind w:left="926" w:hanging="360"/>
      </w:pPr>
    </w:lvl>
  </w:abstractNum>
  <w:abstractNum w:abstractNumId="3">
    <w:nsid w:val="FFFFFF7F"/>
    <w:multiLevelType w:val="singleLevel"/>
    <w:tmpl w:val="6F1CF73A"/>
    <w:lvl w:ilvl="0">
      <w:start w:val="1"/>
      <w:numFmt w:val="decimal"/>
      <w:lvlText w:val="%1."/>
      <w:lvlJc w:val="left"/>
      <w:pPr>
        <w:tabs>
          <w:tab w:val="num" w:pos="643"/>
        </w:tabs>
        <w:ind w:left="643" w:hanging="360"/>
      </w:pPr>
    </w:lvl>
  </w:abstractNum>
  <w:abstractNum w:abstractNumId="4">
    <w:nsid w:val="FFFFFF80"/>
    <w:multiLevelType w:val="singleLevel"/>
    <w:tmpl w:val="2380266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0C2C34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482EC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666B2C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2760110"/>
    <w:lvl w:ilvl="0">
      <w:start w:val="1"/>
      <w:numFmt w:val="decimal"/>
      <w:lvlText w:val="%1."/>
      <w:lvlJc w:val="left"/>
      <w:pPr>
        <w:tabs>
          <w:tab w:val="num" w:pos="360"/>
        </w:tabs>
        <w:ind w:left="360" w:hanging="360"/>
      </w:pPr>
    </w:lvl>
  </w:abstractNum>
  <w:abstractNum w:abstractNumId="9">
    <w:nsid w:val="FFFFFF89"/>
    <w:multiLevelType w:val="singleLevel"/>
    <w:tmpl w:val="7A78CAFA"/>
    <w:lvl w:ilvl="0">
      <w:start w:val="1"/>
      <w:numFmt w:val="bullet"/>
      <w:lvlText w:val=""/>
      <w:lvlJc w:val="left"/>
      <w:pPr>
        <w:tabs>
          <w:tab w:val="num" w:pos="360"/>
        </w:tabs>
        <w:ind w:left="360" w:hanging="360"/>
      </w:pPr>
      <w:rPr>
        <w:rFonts w:ascii="Symbol" w:hAnsi="Symbol" w:cs="Symbol" w:hint="default"/>
      </w:rPr>
    </w:lvl>
  </w:abstractNum>
  <w:abstractNum w:abstractNumId="1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E0B6F7B"/>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961EC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AE964A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A023E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541DF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AE6BCB"/>
    <w:multiLevelType w:val="singleLevel"/>
    <w:tmpl w:val="0415001B"/>
    <w:lvl w:ilvl="0">
      <w:start w:val="1"/>
      <w:numFmt w:val="lowerRoman"/>
      <w:lvlText w:val="%1."/>
      <w:lvlJc w:val="right"/>
      <w:pPr>
        <w:tabs>
          <w:tab w:val="num" w:pos="504"/>
        </w:tabs>
        <w:ind w:left="504" w:hanging="216"/>
      </w:pPr>
    </w:lvl>
  </w:abstractNum>
  <w:abstractNum w:abstractNumId="18">
    <w:nsid w:val="67E933B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20">
    <w:nsid w:val="6C15279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156FD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737461D"/>
    <w:multiLevelType w:val="multilevel"/>
    <w:tmpl w:val="040C0023"/>
    <w:styleLink w:val="ArticleSection"/>
    <w:lvl w:ilvl="0">
      <w:start w:val="1"/>
      <w:numFmt w:val="upperRoman"/>
      <w:pStyle w:val="Heading1"/>
      <w:lvlText w:val="Article %1."/>
      <w:lvlJc w:val="left"/>
    </w:lvl>
    <w:lvl w:ilvl="1">
      <w:start w:val="1"/>
      <w:numFmt w:val="decimalZero"/>
      <w:pStyle w:val="Heading2"/>
      <w:isLgl/>
      <w:lvlText w:val="Section %1.%2"/>
      <w:lvlJc w:val="left"/>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CC307E5"/>
    <w:multiLevelType w:val="singleLevel"/>
    <w:tmpl w:val="04150019"/>
    <w:lvl w:ilvl="0">
      <w:start w:val="1"/>
      <w:numFmt w:val="lowerLetter"/>
      <w:lvlText w:val="(%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19"/>
  </w:num>
  <w:num w:numId="41">
    <w:abstractNumId w:val="12"/>
  </w:num>
  <w:num w:numId="42">
    <w:abstractNumId w:val="10"/>
  </w:num>
  <w:num w:numId="43">
    <w:abstractNumId w:val="22"/>
  </w:num>
  <w:num w:numId="44">
    <w:abstractNumId w:val="15"/>
  </w:num>
  <w:num w:numId="45">
    <w:abstractNumId w:val="16"/>
  </w:num>
  <w:num w:numId="46">
    <w:abstractNumId w:val="11"/>
  </w:num>
  <w:num w:numId="47">
    <w:abstractNumId w:val="17"/>
    <w:lvlOverride w:ilvl="0">
      <w:startOverride w:val="1"/>
    </w:lvlOverride>
  </w:num>
  <w:num w:numId="48">
    <w:abstractNumId w:val="23"/>
    <w:lvlOverride w:ilvl="0">
      <w:startOverride w:val="1"/>
    </w:lvlOverride>
  </w:num>
  <w:num w:numId="49">
    <w:abstractNumId w:val="14"/>
  </w:num>
  <w:num w:numId="50">
    <w:abstractNumId w:val="21"/>
  </w:num>
  <w:num w:numId="51">
    <w:abstractNumId w:val="18"/>
  </w:num>
  <w:num w:numId="52">
    <w:abstractNumId w:val="20"/>
  </w:num>
  <w:num w:numId="5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footnotePr>
    <w:numRestart w:val="eachPage"/>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DE3CC4"/>
    <w:rsid w:val="0000106B"/>
    <w:rsid w:val="0000110F"/>
    <w:rsid w:val="000041F8"/>
    <w:rsid w:val="000042A8"/>
    <w:rsid w:val="00004308"/>
    <w:rsid w:val="0000554B"/>
    <w:rsid w:val="000056F4"/>
    <w:rsid w:val="00005BF0"/>
    <w:rsid w:val="0000602B"/>
    <w:rsid w:val="00006E47"/>
    <w:rsid w:val="00007154"/>
    <w:rsid w:val="00007EAE"/>
    <w:rsid w:val="000103AE"/>
    <w:rsid w:val="00010B57"/>
    <w:rsid w:val="00010F8A"/>
    <w:rsid w:val="00011D69"/>
    <w:rsid w:val="00012AD3"/>
    <w:rsid w:val="00014566"/>
    <w:rsid w:val="0001547E"/>
    <w:rsid w:val="00015C2D"/>
    <w:rsid w:val="00015F00"/>
    <w:rsid w:val="00016841"/>
    <w:rsid w:val="00022C1D"/>
    <w:rsid w:val="00023EFF"/>
    <w:rsid w:val="000241FA"/>
    <w:rsid w:val="0002426D"/>
    <w:rsid w:val="000257E3"/>
    <w:rsid w:val="000268F1"/>
    <w:rsid w:val="00026C82"/>
    <w:rsid w:val="00027BFB"/>
    <w:rsid w:val="00030AEB"/>
    <w:rsid w:val="00034987"/>
    <w:rsid w:val="00035269"/>
    <w:rsid w:val="00035BB8"/>
    <w:rsid w:val="00041BBF"/>
    <w:rsid w:val="00041FC8"/>
    <w:rsid w:val="00045901"/>
    <w:rsid w:val="00054AB9"/>
    <w:rsid w:val="00056117"/>
    <w:rsid w:val="00056CEE"/>
    <w:rsid w:val="00057D75"/>
    <w:rsid w:val="000602DF"/>
    <w:rsid w:val="00061433"/>
    <w:rsid w:val="00061B05"/>
    <w:rsid w:val="00061C6F"/>
    <w:rsid w:val="00062D5E"/>
    <w:rsid w:val="000632D5"/>
    <w:rsid w:val="000636E8"/>
    <w:rsid w:val="000644EE"/>
    <w:rsid w:val="00065E07"/>
    <w:rsid w:val="0007141B"/>
    <w:rsid w:val="00071BA4"/>
    <w:rsid w:val="00071C0C"/>
    <w:rsid w:val="000731FE"/>
    <w:rsid w:val="000750BE"/>
    <w:rsid w:val="0007543E"/>
    <w:rsid w:val="00076AE6"/>
    <w:rsid w:val="00077219"/>
    <w:rsid w:val="00080B80"/>
    <w:rsid w:val="00080C30"/>
    <w:rsid w:val="00081659"/>
    <w:rsid w:val="00083FD9"/>
    <w:rsid w:val="00086B80"/>
    <w:rsid w:val="00087E16"/>
    <w:rsid w:val="00091FF6"/>
    <w:rsid w:val="000923FA"/>
    <w:rsid w:val="000925AD"/>
    <w:rsid w:val="00093BAC"/>
    <w:rsid w:val="00095B4F"/>
    <w:rsid w:val="00095C90"/>
    <w:rsid w:val="000A24EB"/>
    <w:rsid w:val="000A42D3"/>
    <w:rsid w:val="000A531B"/>
    <w:rsid w:val="000A5AF2"/>
    <w:rsid w:val="000A5CAF"/>
    <w:rsid w:val="000A6794"/>
    <w:rsid w:val="000A6933"/>
    <w:rsid w:val="000A7AD7"/>
    <w:rsid w:val="000B5A6A"/>
    <w:rsid w:val="000B5AE2"/>
    <w:rsid w:val="000B6923"/>
    <w:rsid w:val="000B6EC9"/>
    <w:rsid w:val="000C07FA"/>
    <w:rsid w:val="000C0A7F"/>
    <w:rsid w:val="000C148F"/>
    <w:rsid w:val="000C1537"/>
    <w:rsid w:val="000C513A"/>
    <w:rsid w:val="000C5221"/>
    <w:rsid w:val="000C5F3C"/>
    <w:rsid w:val="000C6184"/>
    <w:rsid w:val="000C6DCC"/>
    <w:rsid w:val="000C6F50"/>
    <w:rsid w:val="000C7B9F"/>
    <w:rsid w:val="000D1CA0"/>
    <w:rsid w:val="000D4182"/>
    <w:rsid w:val="000D47AA"/>
    <w:rsid w:val="000D49BB"/>
    <w:rsid w:val="000D4EE2"/>
    <w:rsid w:val="000D52A6"/>
    <w:rsid w:val="000D721F"/>
    <w:rsid w:val="000D787B"/>
    <w:rsid w:val="000D790F"/>
    <w:rsid w:val="000E0498"/>
    <w:rsid w:val="000E069B"/>
    <w:rsid w:val="000E0E82"/>
    <w:rsid w:val="000E1176"/>
    <w:rsid w:val="000E1CF6"/>
    <w:rsid w:val="000E1DC5"/>
    <w:rsid w:val="000E223F"/>
    <w:rsid w:val="000E2373"/>
    <w:rsid w:val="000E4284"/>
    <w:rsid w:val="000E5390"/>
    <w:rsid w:val="000E6DEB"/>
    <w:rsid w:val="000E7D45"/>
    <w:rsid w:val="000F1D10"/>
    <w:rsid w:val="000F2921"/>
    <w:rsid w:val="000F7851"/>
    <w:rsid w:val="00102886"/>
    <w:rsid w:val="00102EDE"/>
    <w:rsid w:val="00104E23"/>
    <w:rsid w:val="00104E26"/>
    <w:rsid w:val="00104EA8"/>
    <w:rsid w:val="00111A06"/>
    <w:rsid w:val="00111B0C"/>
    <w:rsid w:val="001151C3"/>
    <w:rsid w:val="00115A21"/>
    <w:rsid w:val="001207F0"/>
    <w:rsid w:val="00120D6C"/>
    <w:rsid w:val="001210E8"/>
    <w:rsid w:val="00123970"/>
    <w:rsid w:val="001244BA"/>
    <w:rsid w:val="001257EC"/>
    <w:rsid w:val="00127879"/>
    <w:rsid w:val="00133747"/>
    <w:rsid w:val="00133D33"/>
    <w:rsid w:val="00134D64"/>
    <w:rsid w:val="00135A30"/>
    <w:rsid w:val="00135AD5"/>
    <w:rsid w:val="00135B29"/>
    <w:rsid w:val="0013612C"/>
    <w:rsid w:val="00137FF6"/>
    <w:rsid w:val="00140FF0"/>
    <w:rsid w:val="00141650"/>
    <w:rsid w:val="0014189F"/>
    <w:rsid w:val="00141FF0"/>
    <w:rsid w:val="0014229B"/>
    <w:rsid w:val="00145340"/>
    <w:rsid w:val="001455FC"/>
    <w:rsid w:val="00147C48"/>
    <w:rsid w:val="00150BFA"/>
    <w:rsid w:val="0015219B"/>
    <w:rsid w:val="001522CB"/>
    <w:rsid w:val="00152DD9"/>
    <w:rsid w:val="001537C3"/>
    <w:rsid w:val="001540B4"/>
    <w:rsid w:val="00155FDE"/>
    <w:rsid w:val="00162A12"/>
    <w:rsid w:val="001641BA"/>
    <w:rsid w:val="00164FCD"/>
    <w:rsid w:val="00165918"/>
    <w:rsid w:val="001663FE"/>
    <w:rsid w:val="00166530"/>
    <w:rsid w:val="001666E8"/>
    <w:rsid w:val="001710E0"/>
    <w:rsid w:val="00171276"/>
    <w:rsid w:val="00174911"/>
    <w:rsid w:val="001757EE"/>
    <w:rsid w:val="001779AA"/>
    <w:rsid w:val="0018108E"/>
    <w:rsid w:val="001813BF"/>
    <w:rsid w:val="00182918"/>
    <w:rsid w:val="00182E52"/>
    <w:rsid w:val="001832BD"/>
    <w:rsid w:val="00184223"/>
    <w:rsid w:val="001855D6"/>
    <w:rsid w:val="00185DFB"/>
    <w:rsid w:val="001900EB"/>
    <w:rsid w:val="00191576"/>
    <w:rsid w:val="001922A7"/>
    <w:rsid w:val="001943B5"/>
    <w:rsid w:val="00195134"/>
    <w:rsid w:val="001A145B"/>
    <w:rsid w:val="001A1862"/>
    <w:rsid w:val="001A29FE"/>
    <w:rsid w:val="001A3453"/>
    <w:rsid w:val="001A57B0"/>
    <w:rsid w:val="001A59A1"/>
    <w:rsid w:val="001A5EF3"/>
    <w:rsid w:val="001A674C"/>
    <w:rsid w:val="001A6813"/>
    <w:rsid w:val="001A6B8C"/>
    <w:rsid w:val="001B06BF"/>
    <w:rsid w:val="001B090A"/>
    <w:rsid w:val="001B0DCF"/>
    <w:rsid w:val="001B3B24"/>
    <w:rsid w:val="001B4C2E"/>
    <w:rsid w:val="001B5D7F"/>
    <w:rsid w:val="001B6CA2"/>
    <w:rsid w:val="001B7DAC"/>
    <w:rsid w:val="001C01F0"/>
    <w:rsid w:val="001C0F98"/>
    <w:rsid w:val="001C1275"/>
    <w:rsid w:val="001C1519"/>
    <w:rsid w:val="001C2A42"/>
    <w:rsid w:val="001C4491"/>
    <w:rsid w:val="001C4F9B"/>
    <w:rsid w:val="001D2044"/>
    <w:rsid w:val="001D63ED"/>
    <w:rsid w:val="001D7348"/>
    <w:rsid w:val="001E035B"/>
    <w:rsid w:val="001E0961"/>
    <w:rsid w:val="001E18DF"/>
    <w:rsid w:val="001E31EE"/>
    <w:rsid w:val="001E3EAE"/>
    <w:rsid w:val="001E49F7"/>
    <w:rsid w:val="001E4B3C"/>
    <w:rsid w:val="001E6F32"/>
    <w:rsid w:val="001F2145"/>
    <w:rsid w:val="001F3E63"/>
    <w:rsid w:val="001F4A20"/>
    <w:rsid w:val="001F6262"/>
    <w:rsid w:val="001F6295"/>
    <w:rsid w:val="001F67B0"/>
    <w:rsid w:val="001F78ED"/>
    <w:rsid w:val="001F7B3D"/>
    <w:rsid w:val="002005CE"/>
    <w:rsid w:val="002014DA"/>
    <w:rsid w:val="00202507"/>
    <w:rsid w:val="00202CA2"/>
    <w:rsid w:val="002035C6"/>
    <w:rsid w:val="00205F9F"/>
    <w:rsid w:val="0020636F"/>
    <w:rsid w:val="00206F50"/>
    <w:rsid w:val="00210338"/>
    <w:rsid w:val="002115FC"/>
    <w:rsid w:val="00212EA2"/>
    <w:rsid w:val="00213492"/>
    <w:rsid w:val="002138F0"/>
    <w:rsid w:val="0021423C"/>
    <w:rsid w:val="00214AEA"/>
    <w:rsid w:val="00215FAB"/>
    <w:rsid w:val="00216A2A"/>
    <w:rsid w:val="00226640"/>
    <w:rsid w:val="002277C0"/>
    <w:rsid w:val="00230D00"/>
    <w:rsid w:val="00231223"/>
    <w:rsid w:val="00231DF7"/>
    <w:rsid w:val="00231FD1"/>
    <w:rsid w:val="00232DEB"/>
    <w:rsid w:val="002339E0"/>
    <w:rsid w:val="00233CF8"/>
    <w:rsid w:val="00233EA1"/>
    <w:rsid w:val="00233F29"/>
    <w:rsid w:val="00234006"/>
    <w:rsid w:val="002347A7"/>
    <w:rsid w:val="0023575D"/>
    <w:rsid w:val="00235D81"/>
    <w:rsid w:val="00236119"/>
    <w:rsid w:val="0023660B"/>
    <w:rsid w:val="00237148"/>
    <w:rsid w:val="00237A61"/>
    <w:rsid w:val="00240297"/>
    <w:rsid w:val="0024145B"/>
    <w:rsid w:val="0024222D"/>
    <w:rsid w:val="0024265D"/>
    <w:rsid w:val="00242A9B"/>
    <w:rsid w:val="00242B9C"/>
    <w:rsid w:val="00243207"/>
    <w:rsid w:val="00243C3C"/>
    <w:rsid w:val="002449C1"/>
    <w:rsid w:val="00244B0E"/>
    <w:rsid w:val="00244F6C"/>
    <w:rsid w:val="00245B44"/>
    <w:rsid w:val="00245EF9"/>
    <w:rsid w:val="0024689D"/>
    <w:rsid w:val="00246CFF"/>
    <w:rsid w:val="002532C5"/>
    <w:rsid w:val="00253555"/>
    <w:rsid w:val="00254802"/>
    <w:rsid w:val="00260C03"/>
    <w:rsid w:val="0026229F"/>
    <w:rsid w:val="00262501"/>
    <w:rsid w:val="0026329A"/>
    <w:rsid w:val="002637EA"/>
    <w:rsid w:val="00263917"/>
    <w:rsid w:val="0026434D"/>
    <w:rsid w:val="0026540E"/>
    <w:rsid w:val="002670B7"/>
    <w:rsid w:val="00272251"/>
    <w:rsid w:val="00272D25"/>
    <w:rsid w:val="002731B2"/>
    <w:rsid w:val="00274B99"/>
    <w:rsid w:val="00275123"/>
    <w:rsid w:val="002779C7"/>
    <w:rsid w:val="00281E6F"/>
    <w:rsid w:val="00282240"/>
    <w:rsid w:val="00283650"/>
    <w:rsid w:val="00283A06"/>
    <w:rsid w:val="002850C2"/>
    <w:rsid w:val="002874C7"/>
    <w:rsid w:val="00287CCF"/>
    <w:rsid w:val="0029057E"/>
    <w:rsid w:val="0029069C"/>
    <w:rsid w:val="00294011"/>
    <w:rsid w:val="002948AD"/>
    <w:rsid w:val="00294C92"/>
    <w:rsid w:val="0029590D"/>
    <w:rsid w:val="00296D23"/>
    <w:rsid w:val="0029792E"/>
    <w:rsid w:val="002A01CC"/>
    <w:rsid w:val="002A11E1"/>
    <w:rsid w:val="002A1319"/>
    <w:rsid w:val="002A61B1"/>
    <w:rsid w:val="002A663C"/>
    <w:rsid w:val="002B154C"/>
    <w:rsid w:val="002B17B8"/>
    <w:rsid w:val="002B1DF1"/>
    <w:rsid w:val="002B3E7D"/>
    <w:rsid w:val="002B444B"/>
    <w:rsid w:val="002B5887"/>
    <w:rsid w:val="002B5BC3"/>
    <w:rsid w:val="002B7D68"/>
    <w:rsid w:val="002C00A8"/>
    <w:rsid w:val="002C0692"/>
    <w:rsid w:val="002C085E"/>
    <w:rsid w:val="002C0E27"/>
    <w:rsid w:val="002C1E0F"/>
    <w:rsid w:val="002C3040"/>
    <w:rsid w:val="002C3F8E"/>
    <w:rsid w:val="002C4482"/>
    <w:rsid w:val="002C58DA"/>
    <w:rsid w:val="002C712A"/>
    <w:rsid w:val="002D022D"/>
    <w:rsid w:val="002D24BB"/>
    <w:rsid w:val="002D28F7"/>
    <w:rsid w:val="002D2C3E"/>
    <w:rsid w:val="002D3878"/>
    <w:rsid w:val="002D43EA"/>
    <w:rsid w:val="002D4E18"/>
    <w:rsid w:val="002E05C1"/>
    <w:rsid w:val="002E2B36"/>
    <w:rsid w:val="002E454B"/>
    <w:rsid w:val="002E66C1"/>
    <w:rsid w:val="002F2AF7"/>
    <w:rsid w:val="002F7E1C"/>
    <w:rsid w:val="0030160B"/>
    <w:rsid w:val="003019B7"/>
    <w:rsid w:val="00301A75"/>
    <w:rsid w:val="00302C37"/>
    <w:rsid w:val="00302F70"/>
    <w:rsid w:val="0030336F"/>
    <w:rsid w:val="0030375E"/>
    <w:rsid w:val="00304E6F"/>
    <w:rsid w:val="0031062D"/>
    <w:rsid w:val="00312A30"/>
    <w:rsid w:val="00312E73"/>
    <w:rsid w:val="0031300B"/>
    <w:rsid w:val="003169E4"/>
    <w:rsid w:val="00316B9E"/>
    <w:rsid w:val="0031709D"/>
    <w:rsid w:val="00320F72"/>
    <w:rsid w:val="00321CC1"/>
    <w:rsid w:val="00323B89"/>
    <w:rsid w:val="0032463E"/>
    <w:rsid w:val="00324852"/>
    <w:rsid w:val="00325C1D"/>
    <w:rsid w:val="00325EF6"/>
    <w:rsid w:val="00326224"/>
    <w:rsid w:val="0032676B"/>
    <w:rsid w:val="00331E2C"/>
    <w:rsid w:val="00334649"/>
    <w:rsid w:val="00334CD4"/>
    <w:rsid w:val="00335B05"/>
    <w:rsid w:val="00335B77"/>
    <w:rsid w:val="00337EE4"/>
    <w:rsid w:val="003406D0"/>
    <w:rsid w:val="00340FFD"/>
    <w:rsid w:val="003422A4"/>
    <w:rsid w:val="00344555"/>
    <w:rsid w:val="00344C37"/>
    <w:rsid w:val="00345342"/>
    <w:rsid w:val="003506B1"/>
    <w:rsid w:val="0035124D"/>
    <w:rsid w:val="0035194D"/>
    <w:rsid w:val="00352A17"/>
    <w:rsid w:val="003540EF"/>
    <w:rsid w:val="003542FA"/>
    <w:rsid w:val="00356AC7"/>
    <w:rsid w:val="003573BB"/>
    <w:rsid w:val="00357B73"/>
    <w:rsid w:val="003609FA"/>
    <w:rsid w:val="00360CD9"/>
    <w:rsid w:val="00361A44"/>
    <w:rsid w:val="00362E93"/>
    <w:rsid w:val="00365869"/>
    <w:rsid w:val="00365A04"/>
    <w:rsid w:val="00365F81"/>
    <w:rsid w:val="003702E2"/>
    <w:rsid w:val="00370397"/>
    <w:rsid w:val="003710C8"/>
    <w:rsid w:val="00371296"/>
    <w:rsid w:val="00374757"/>
    <w:rsid w:val="003750BE"/>
    <w:rsid w:val="003751A6"/>
    <w:rsid w:val="00375CA9"/>
    <w:rsid w:val="003767A0"/>
    <w:rsid w:val="0038097B"/>
    <w:rsid w:val="003832FA"/>
    <w:rsid w:val="003840CF"/>
    <w:rsid w:val="00387B9D"/>
    <w:rsid w:val="00390AD0"/>
    <w:rsid w:val="0039364F"/>
    <w:rsid w:val="00396686"/>
    <w:rsid w:val="0039778E"/>
    <w:rsid w:val="003A17F2"/>
    <w:rsid w:val="003A27B5"/>
    <w:rsid w:val="003A40FA"/>
    <w:rsid w:val="003A4A80"/>
    <w:rsid w:val="003A6B99"/>
    <w:rsid w:val="003B0C1D"/>
    <w:rsid w:val="003B380D"/>
    <w:rsid w:val="003B3F29"/>
    <w:rsid w:val="003B4347"/>
    <w:rsid w:val="003B45D5"/>
    <w:rsid w:val="003B4941"/>
    <w:rsid w:val="003B6017"/>
    <w:rsid w:val="003C31B1"/>
    <w:rsid w:val="003C426B"/>
    <w:rsid w:val="003C5714"/>
    <w:rsid w:val="003C6B9F"/>
    <w:rsid w:val="003C6E2A"/>
    <w:rsid w:val="003C7B12"/>
    <w:rsid w:val="003D0089"/>
    <w:rsid w:val="003D0299"/>
    <w:rsid w:val="003D3ABF"/>
    <w:rsid w:val="003D3CEE"/>
    <w:rsid w:val="003D3E9D"/>
    <w:rsid w:val="003D45E8"/>
    <w:rsid w:val="003D6133"/>
    <w:rsid w:val="003D67E9"/>
    <w:rsid w:val="003E063A"/>
    <w:rsid w:val="003E214C"/>
    <w:rsid w:val="003E3F32"/>
    <w:rsid w:val="003E463C"/>
    <w:rsid w:val="003E6D80"/>
    <w:rsid w:val="003F05FA"/>
    <w:rsid w:val="003F1BFA"/>
    <w:rsid w:val="003F1F19"/>
    <w:rsid w:val="003F244A"/>
    <w:rsid w:val="003F290E"/>
    <w:rsid w:val="003F2B38"/>
    <w:rsid w:val="003F30B8"/>
    <w:rsid w:val="003F3501"/>
    <w:rsid w:val="003F49BD"/>
    <w:rsid w:val="003F4C45"/>
    <w:rsid w:val="003F5F7B"/>
    <w:rsid w:val="003F721C"/>
    <w:rsid w:val="003F7D64"/>
    <w:rsid w:val="00401BA4"/>
    <w:rsid w:val="00402359"/>
    <w:rsid w:val="00402409"/>
    <w:rsid w:val="00403DCF"/>
    <w:rsid w:val="00405351"/>
    <w:rsid w:val="00405717"/>
    <w:rsid w:val="004113B1"/>
    <w:rsid w:val="004114F6"/>
    <w:rsid w:val="00411FEF"/>
    <w:rsid w:val="00412D11"/>
    <w:rsid w:val="00414300"/>
    <w:rsid w:val="004148D5"/>
    <w:rsid w:val="00414ADB"/>
    <w:rsid w:val="00416F78"/>
    <w:rsid w:val="004179C2"/>
    <w:rsid w:val="004202EF"/>
    <w:rsid w:val="00421D98"/>
    <w:rsid w:val="0042362F"/>
    <w:rsid w:val="00423AEA"/>
    <w:rsid w:val="00425C67"/>
    <w:rsid w:val="004268A7"/>
    <w:rsid w:val="00427E7A"/>
    <w:rsid w:val="00432166"/>
    <w:rsid w:val="004321DB"/>
    <w:rsid w:val="00436307"/>
    <w:rsid w:val="00436C49"/>
    <w:rsid w:val="00440BC1"/>
    <w:rsid w:val="00441136"/>
    <w:rsid w:val="004423BF"/>
    <w:rsid w:val="0044302B"/>
    <w:rsid w:val="004446BE"/>
    <w:rsid w:val="00445366"/>
    <w:rsid w:val="00445D3D"/>
    <w:rsid w:val="004463A3"/>
    <w:rsid w:val="00446A8D"/>
    <w:rsid w:val="00447B0D"/>
    <w:rsid w:val="00447F5B"/>
    <w:rsid w:val="00450242"/>
    <w:rsid w:val="00452C50"/>
    <w:rsid w:val="00452CEA"/>
    <w:rsid w:val="00454330"/>
    <w:rsid w:val="0045651E"/>
    <w:rsid w:val="00457092"/>
    <w:rsid w:val="0046174C"/>
    <w:rsid w:val="00461DB0"/>
    <w:rsid w:val="00462AB4"/>
    <w:rsid w:val="004630F6"/>
    <w:rsid w:val="00463926"/>
    <w:rsid w:val="004646E0"/>
    <w:rsid w:val="00464C9A"/>
    <w:rsid w:val="004670A9"/>
    <w:rsid w:val="00467320"/>
    <w:rsid w:val="004714A6"/>
    <w:rsid w:val="00471AB3"/>
    <w:rsid w:val="00474C4E"/>
    <w:rsid w:val="00474F3D"/>
    <w:rsid w:val="004775EE"/>
    <w:rsid w:val="004778CD"/>
    <w:rsid w:val="00477E3A"/>
    <w:rsid w:val="00477EBC"/>
    <w:rsid w:val="00480E3A"/>
    <w:rsid w:val="00482A7F"/>
    <w:rsid w:val="00483C68"/>
    <w:rsid w:val="00483E5F"/>
    <w:rsid w:val="00485FF9"/>
    <w:rsid w:val="00487540"/>
    <w:rsid w:val="004907F0"/>
    <w:rsid w:val="0049140B"/>
    <w:rsid w:val="004915E8"/>
    <w:rsid w:val="004923A5"/>
    <w:rsid w:val="004923BC"/>
    <w:rsid w:val="004924D6"/>
    <w:rsid w:val="00493A15"/>
    <w:rsid w:val="0049407E"/>
    <w:rsid w:val="004945C6"/>
    <w:rsid w:val="004947B6"/>
    <w:rsid w:val="00494C95"/>
    <w:rsid w:val="00496BFB"/>
    <w:rsid w:val="00497D08"/>
    <w:rsid w:val="004A15C7"/>
    <w:rsid w:val="004A1A06"/>
    <w:rsid w:val="004A1CAD"/>
    <w:rsid w:val="004A22E2"/>
    <w:rsid w:val="004A577B"/>
    <w:rsid w:val="004B00A9"/>
    <w:rsid w:val="004B013B"/>
    <w:rsid w:val="004B112B"/>
    <w:rsid w:val="004B3229"/>
    <w:rsid w:val="004B335D"/>
    <w:rsid w:val="004B63BA"/>
    <w:rsid w:val="004B7BFF"/>
    <w:rsid w:val="004C01E4"/>
    <w:rsid w:val="004C086C"/>
    <w:rsid w:val="004C1784"/>
    <w:rsid w:val="004C1F56"/>
    <w:rsid w:val="004C27BC"/>
    <w:rsid w:val="004C314E"/>
    <w:rsid w:val="004C340B"/>
    <w:rsid w:val="004C6C94"/>
    <w:rsid w:val="004D0213"/>
    <w:rsid w:val="004D15F3"/>
    <w:rsid w:val="004D1F85"/>
    <w:rsid w:val="004D5311"/>
    <w:rsid w:val="004D5DCC"/>
    <w:rsid w:val="004D7B2B"/>
    <w:rsid w:val="004E2A11"/>
    <w:rsid w:val="004E2F3F"/>
    <w:rsid w:val="004E3B28"/>
    <w:rsid w:val="004F10AF"/>
    <w:rsid w:val="004F11A4"/>
    <w:rsid w:val="004F2389"/>
    <w:rsid w:val="004F304D"/>
    <w:rsid w:val="004F5A68"/>
    <w:rsid w:val="004F61BE"/>
    <w:rsid w:val="004F66B1"/>
    <w:rsid w:val="005005FC"/>
    <w:rsid w:val="0050111C"/>
    <w:rsid w:val="0050584A"/>
    <w:rsid w:val="00506E6B"/>
    <w:rsid w:val="00511C07"/>
    <w:rsid w:val="00512E75"/>
    <w:rsid w:val="005141FA"/>
    <w:rsid w:val="005173A6"/>
    <w:rsid w:val="0051786E"/>
    <w:rsid w:val="00520BAA"/>
    <w:rsid w:val="00522747"/>
    <w:rsid w:val="00522C5B"/>
    <w:rsid w:val="005234E7"/>
    <w:rsid w:val="00524B9D"/>
    <w:rsid w:val="00525208"/>
    <w:rsid w:val="005257A5"/>
    <w:rsid w:val="00525A5F"/>
    <w:rsid w:val="005264C0"/>
    <w:rsid w:val="00526A8A"/>
    <w:rsid w:val="00530FC9"/>
    <w:rsid w:val="00531DF2"/>
    <w:rsid w:val="00536C6D"/>
    <w:rsid w:val="00540063"/>
    <w:rsid w:val="005404DB"/>
    <w:rsid w:val="005407D7"/>
    <w:rsid w:val="00540BD9"/>
    <w:rsid w:val="00542861"/>
    <w:rsid w:val="00544231"/>
    <w:rsid w:val="005442EE"/>
    <w:rsid w:val="0054676E"/>
    <w:rsid w:val="0054698A"/>
    <w:rsid w:val="00546A47"/>
    <w:rsid w:val="00547353"/>
    <w:rsid w:val="005474E7"/>
    <w:rsid w:val="00550C13"/>
    <w:rsid w:val="005512A3"/>
    <w:rsid w:val="00551579"/>
    <w:rsid w:val="00553469"/>
    <w:rsid w:val="00553847"/>
    <w:rsid w:val="00557875"/>
    <w:rsid w:val="005578CE"/>
    <w:rsid w:val="005611CC"/>
    <w:rsid w:val="00561A67"/>
    <w:rsid w:val="00562781"/>
    <w:rsid w:val="005660DA"/>
    <w:rsid w:val="005706E6"/>
    <w:rsid w:val="00571B77"/>
    <w:rsid w:val="0057271C"/>
    <w:rsid w:val="00572845"/>
    <w:rsid w:val="00575803"/>
    <w:rsid w:val="00577C18"/>
    <w:rsid w:val="00580A0A"/>
    <w:rsid w:val="00580D24"/>
    <w:rsid w:val="00581CBD"/>
    <w:rsid w:val="00581E35"/>
    <w:rsid w:val="00581F29"/>
    <w:rsid w:val="0058730B"/>
    <w:rsid w:val="00591716"/>
    <w:rsid w:val="00592772"/>
    <w:rsid w:val="00592DF5"/>
    <w:rsid w:val="00592EB5"/>
    <w:rsid w:val="00593461"/>
    <w:rsid w:val="0059574A"/>
    <w:rsid w:val="0059689E"/>
    <w:rsid w:val="0059749C"/>
    <w:rsid w:val="005A1B9B"/>
    <w:rsid w:val="005A2542"/>
    <w:rsid w:val="005A2914"/>
    <w:rsid w:val="005A2CA5"/>
    <w:rsid w:val="005A3429"/>
    <w:rsid w:val="005A4203"/>
    <w:rsid w:val="005A6751"/>
    <w:rsid w:val="005A6D1E"/>
    <w:rsid w:val="005B00E5"/>
    <w:rsid w:val="005B092E"/>
    <w:rsid w:val="005B152C"/>
    <w:rsid w:val="005B1EE0"/>
    <w:rsid w:val="005B2B24"/>
    <w:rsid w:val="005B4425"/>
    <w:rsid w:val="005B48F3"/>
    <w:rsid w:val="005B4B94"/>
    <w:rsid w:val="005B6FAC"/>
    <w:rsid w:val="005C1272"/>
    <w:rsid w:val="005C146B"/>
    <w:rsid w:val="005C203B"/>
    <w:rsid w:val="005C2D32"/>
    <w:rsid w:val="005C3EE8"/>
    <w:rsid w:val="005D34F9"/>
    <w:rsid w:val="005D4190"/>
    <w:rsid w:val="005D5327"/>
    <w:rsid w:val="005D67A3"/>
    <w:rsid w:val="005D7294"/>
    <w:rsid w:val="005D7E73"/>
    <w:rsid w:val="005E0EE4"/>
    <w:rsid w:val="005E0FF4"/>
    <w:rsid w:val="005E1BB9"/>
    <w:rsid w:val="005E21F2"/>
    <w:rsid w:val="005E2988"/>
    <w:rsid w:val="005E2A43"/>
    <w:rsid w:val="005E2BCA"/>
    <w:rsid w:val="005E3085"/>
    <w:rsid w:val="005E3AE9"/>
    <w:rsid w:val="005E5413"/>
    <w:rsid w:val="005E5DBC"/>
    <w:rsid w:val="005E5E62"/>
    <w:rsid w:val="005E6B89"/>
    <w:rsid w:val="005F1CA0"/>
    <w:rsid w:val="005F496F"/>
    <w:rsid w:val="005F51E1"/>
    <w:rsid w:val="00601720"/>
    <w:rsid w:val="00602461"/>
    <w:rsid w:val="0060265E"/>
    <w:rsid w:val="0060445B"/>
    <w:rsid w:val="00606123"/>
    <w:rsid w:val="0060757E"/>
    <w:rsid w:val="00607A00"/>
    <w:rsid w:val="00611693"/>
    <w:rsid w:val="00611C80"/>
    <w:rsid w:val="00613392"/>
    <w:rsid w:val="00613764"/>
    <w:rsid w:val="0061516F"/>
    <w:rsid w:val="00615E2D"/>
    <w:rsid w:val="00620692"/>
    <w:rsid w:val="00621354"/>
    <w:rsid w:val="0062363B"/>
    <w:rsid w:val="0062403B"/>
    <w:rsid w:val="006242CA"/>
    <w:rsid w:val="00625564"/>
    <w:rsid w:val="00627507"/>
    <w:rsid w:val="00633717"/>
    <w:rsid w:val="006344E1"/>
    <w:rsid w:val="00634632"/>
    <w:rsid w:val="00634C7B"/>
    <w:rsid w:val="00635FBB"/>
    <w:rsid w:val="0063680A"/>
    <w:rsid w:val="006369C5"/>
    <w:rsid w:val="006418FB"/>
    <w:rsid w:val="0064190F"/>
    <w:rsid w:val="00643B4B"/>
    <w:rsid w:val="00644BF1"/>
    <w:rsid w:val="00644EF6"/>
    <w:rsid w:val="00647498"/>
    <w:rsid w:val="006545C4"/>
    <w:rsid w:val="00655879"/>
    <w:rsid w:val="006564D0"/>
    <w:rsid w:val="00661971"/>
    <w:rsid w:val="00661CE8"/>
    <w:rsid w:val="00661F7B"/>
    <w:rsid w:val="006623D9"/>
    <w:rsid w:val="00664667"/>
    <w:rsid w:val="0066550C"/>
    <w:rsid w:val="00665A1E"/>
    <w:rsid w:val="00665B57"/>
    <w:rsid w:val="00667BF0"/>
    <w:rsid w:val="006716F2"/>
    <w:rsid w:val="00680461"/>
    <w:rsid w:val="006806BF"/>
    <w:rsid w:val="00680C33"/>
    <w:rsid w:val="00682BF2"/>
    <w:rsid w:val="00683C4C"/>
    <w:rsid w:val="006859CE"/>
    <w:rsid w:val="006876B8"/>
    <w:rsid w:val="00691270"/>
    <w:rsid w:val="00693101"/>
    <w:rsid w:val="006936BE"/>
    <w:rsid w:val="00694BA8"/>
    <w:rsid w:val="00695D5A"/>
    <w:rsid w:val="00695EB7"/>
    <w:rsid w:val="00697E4F"/>
    <w:rsid w:val="006A037C"/>
    <w:rsid w:val="006A0F9F"/>
    <w:rsid w:val="006A36F4"/>
    <w:rsid w:val="006A37A8"/>
    <w:rsid w:val="006A406F"/>
    <w:rsid w:val="006A5D3A"/>
    <w:rsid w:val="006B0D66"/>
    <w:rsid w:val="006B141E"/>
    <w:rsid w:val="006C132F"/>
    <w:rsid w:val="006C23D4"/>
    <w:rsid w:val="006C3831"/>
    <w:rsid w:val="006C61AD"/>
    <w:rsid w:val="006C6CC5"/>
    <w:rsid w:val="006C7BB0"/>
    <w:rsid w:val="006D3156"/>
    <w:rsid w:val="006D3237"/>
    <w:rsid w:val="006D357F"/>
    <w:rsid w:val="006D3EA9"/>
    <w:rsid w:val="006D5D98"/>
    <w:rsid w:val="006D7F08"/>
    <w:rsid w:val="006E0BF6"/>
    <w:rsid w:val="006E0D51"/>
    <w:rsid w:val="006E2562"/>
    <w:rsid w:val="006E2E37"/>
    <w:rsid w:val="006E3CF1"/>
    <w:rsid w:val="006E3F0A"/>
    <w:rsid w:val="006E4165"/>
    <w:rsid w:val="006E7E80"/>
    <w:rsid w:val="006F0A55"/>
    <w:rsid w:val="006F225C"/>
    <w:rsid w:val="006F344E"/>
    <w:rsid w:val="006F48CA"/>
    <w:rsid w:val="006F64DD"/>
    <w:rsid w:val="006F72CC"/>
    <w:rsid w:val="006F7920"/>
    <w:rsid w:val="00705D04"/>
    <w:rsid w:val="00705E39"/>
    <w:rsid w:val="007070E6"/>
    <w:rsid w:val="0070783D"/>
    <w:rsid w:val="00710579"/>
    <w:rsid w:val="00710E89"/>
    <w:rsid w:val="00714622"/>
    <w:rsid w:val="00715127"/>
    <w:rsid w:val="00715B9F"/>
    <w:rsid w:val="00715E8E"/>
    <w:rsid w:val="007164BD"/>
    <w:rsid w:val="0071695F"/>
    <w:rsid w:val="007214D8"/>
    <w:rsid w:val="00721590"/>
    <w:rsid w:val="00723580"/>
    <w:rsid w:val="00723755"/>
    <w:rsid w:val="00724923"/>
    <w:rsid w:val="00726EAC"/>
    <w:rsid w:val="00730199"/>
    <w:rsid w:val="00731041"/>
    <w:rsid w:val="0073136C"/>
    <w:rsid w:val="0073198B"/>
    <w:rsid w:val="00731F0F"/>
    <w:rsid w:val="0073214E"/>
    <w:rsid w:val="00732432"/>
    <w:rsid w:val="00732D40"/>
    <w:rsid w:val="00733250"/>
    <w:rsid w:val="00734205"/>
    <w:rsid w:val="00734EFF"/>
    <w:rsid w:val="00735315"/>
    <w:rsid w:val="00736ABA"/>
    <w:rsid w:val="00741404"/>
    <w:rsid w:val="00742117"/>
    <w:rsid w:val="007426FD"/>
    <w:rsid w:val="00743F7F"/>
    <w:rsid w:val="007449E5"/>
    <w:rsid w:val="00746C5A"/>
    <w:rsid w:val="00747FF0"/>
    <w:rsid w:val="00751225"/>
    <w:rsid w:val="0075183E"/>
    <w:rsid w:val="0075329B"/>
    <w:rsid w:val="0076171A"/>
    <w:rsid w:val="0076381B"/>
    <w:rsid w:val="00764D4E"/>
    <w:rsid w:val="00765A1F"/>
    <w:rsid w:val="00765F84"/>
    <w:rsid w:val="00771504"/>
    <w:rsid w:val="0077237D"/>
    <w:rsid w:val="007735BD"/>
    <w:rsid w:val="00775B6D"/>
    <w:rsid w:val="00776C2D"/>
    <w:rsid w:val="00776D68"/>
    <w:rsid w:val="00777302"/>
    <w:rsid w:val="00780312"/>
    <w:rsid w:val="00781C63"/>
    <w:rsid w:val="00783E21"/>
    <w:rsid w:val="007850EE"/>
    <w:rsid w:val="00785B95"/>
    <w:rsid w:val="00785EF6"/>
    <w:rsid w:val="0079005D"/>
    <w:rsid w:val="0079066A"/>
    <w:rsid w:val="00790726"/>
    <w:rsid w:val="00790BC6"/>
    <w:rsid w:val="00790E96"/>
    <w:rsid w:val="00792B13"/>
    <w:rsid w:val="00793366"/>
    <w:rsid w:val="00793B16"/>
    <w:rsid w:val="007963D0"/>
    <w:rsid w:val="00796995"/>
    <w:rsid w:val="00796CA9"/>
    <w:rsid w:val="007978E7"/>
    <w:rsid w:val="007A010C"/>
    <w:rsid w:val="007A1579"/>
    <w:rsid w:val="007A4F3A"/>
    <w:rsid w:val="007A716F"/>
    <w:rsid w:val="007B270A"/>
    <w:rsid w:val="007B28D9"/>
    <w:rsid w:val="007B29C7"/>
    <w:rsid w:val="007B3E79"/>
    <w:rsid w:val="007B5FE4"/>
    <w:rsid w:val="007B6169"/>
    <w:rsid w:val="007B6EEC"/>
    <w:rsid w:val="007B7119"/>
    <w:rsid w:val="007C023D"/>
    <w:rsid w:val="007C0695"/>
    <w:rsid w:val="007C088A"/>
    <w:rsid w:val="007C145F"/>
    <w:rsid w:val="007C3BBF"/>
    <w:rsid w:val="007C3EA8"/>
    <w:rsid w:val="007C419A"/>
    <w:rsid w:val="007C4CC8"/>
    <w:rsid w:val="007C5426"/>
    <w:rsid w:val="007C5798"/>
    <w:rsid w:val="007D11B9"/>
    <w:rsid w:val="007D4832"/>
    <w:rsid w:val="007D5E37"/>
    <w:rsid w:val="007E21B2"/>
    <w:rsid w:val="007E2C4E"/>
    <w:rsid w:val="007F0E45"/>
    <w:rsid w:val="007F1905"/>
    <w:rsid w:val="007F49CD"/>
    <w:rsid w:val="007F5A59"/>
    <w:rsid w:val="007F6805"/>
    <w:rsid w:val="007F6CCD"/>
    <w:rsid w:val="007F6E32"/>
    <w:rsid w:val="007F7513"/>
    <w:rsid w:val="007F760A"/>
    <w:rsid w:val="00801300"/>
    <w:rsid w:val="00802C64"/>
    <w:rsid w:val="00805E52"/>
    <w:rsid w:val="00805EA7"/>
    <w:rsid w:val="008061D0"/>
    <w:rsid w:val="00806419"/>
    <w:rsid w:val="00806F77"/>
    <w:rsid w:val="00807F53"/>
    <w:rsid w:val="00810B38"/>
    <w:rsid w:val="00813AD6"/>
    <w:rsid w:val="008140E5"/>
    <w:rsid w:val="0081528F"/>
    <w:rsid w:val="008174E8"/>
    <w:rsid w:val="008204C7"/>
    <w:rsid w:val="00820645"/>
    <w:rsid w:val="00820992"/>
    <w:rsid w:val="00822A07"/>
    <w:rsid w:val="00823602"/>
    <w:rsid w:val="00824BFD"/>
    <w:rsid w:val="008255B4"/>
    <w:rsid w:val="008255F5"/>
    <w:rsid w:val="0083014E"/>
    <w:rsid w:val="0083214A"/>
    <w:rsid w:val="00832896"/>
    <w:rsid w:val="008334D5"/>
    <w:rsid w:val="00834220"/>
    <w:rsid w:val="008359FC"/>
    <w:rsid w:val="0083715E"/>
    <w:rsid w:val="008407E4"/>
    <w:rsid w:val="008437A3"/>
    <w:rsid w:val="00845723"/>
    <w:rsid w:val="00845A15"/>
    <w:rsid w:val="0084725B"/>
    <w:rsid w:val="00847284"/>
    <w:rsid w:val="00851EF9"/>
    <w:rsid w:val="008577FD"/>
    <w:rsid w:val="00860B03"/>
    <w:rsid w:val="00862ED2"/>
    <w:rsid w:val="00863EB8"/>
    <w:rsid w:val="0086497A"/>
    <w:rsid w:val="0086529F"/>
    <w:rsid w:val="008713A1"/>
    <w:rsid w:val="00872E5D"/>
    <w:rsid w:val="008754AB"/>
    <w:rsid w:val="00875D96"/>
    <w:rsid w:val="008768E5"/>
    <w:rsid w:val="0087783F"/>
    <w:rsid w:val="0088060C"/>
    <w:rsid w:val="00884008"/>
    <w:rsid w:val="008847BC"/>
    <w:rsid w:val="0088596C"/>
    <w:rsid w:val="008860FD"/>
    <w:rsid w:val="00886C0B"/>
    <w:rsid w:val="00890E6D"/>
    <w:rsid w:val="00892250"/>
    <w:rsid w:val="00892307"/>
    <w:rsid w:val="00893576"/>
    <w:rsid w:val="00893E73"/>
    <w:rsid w:val="00895814"/>
    <w:rsid w:val="00896E77"/>
    <w:rsid w:val="008A1DC3"/>
    <w:rsid w:val="008A37EC"/>
    <w:rsid w:val="008A3A1F"/>
    <w:rsid w:val="008A6E18"/>
    <w:rsid w:val="008B02DC"/>
    <w:rsid w:val="008B164F"/>
    <w:rsid w:val="008B21C4"/>
    <w:rsid w:val="008B26FF"/>
    <w:rsid w:val="008B290B"/>
    <w:rsid w:val="008B438D"/>
    <w:rsid w:val="008B4C6A"/>
    <w:rsid w:val="008B57CE"/>
    <w:rsid w:val="008B71E4"/>
    <w:rsid w:val="008C0686"/>
    <w:rsid w:val="008C26DE"/>
    <w:rsid w:val="008C336F"/>
    <w:rsid w:val="008C3AE9"/>
    <w:rsid w:val="008D2225"/>
    <w:rsid w:val="008D3205"/>
    <w:rsid w:val="008D3844"/>
    <w:rsid w:val="008D38D2"/>
    <w:rsid w:val="008D4715"/>
    <w:rsid w:val="008D4752"/>
    <w:rsid w:val="008D4E49"/>
    <w:rsid w:val="008D5D24"/>
    <w:rsid w:val="008D6D5A"/>
    <w:rsid w:val="008D6F2B"/>
    <w:rsid w:val="008D7752"/>
    <w:rsid w:val="008E271C"/>
    <w:rsid w:val="008E418E"/>
    <w:rsid w:val="008E46CF"/>
    <w:rsid w:val="008E5BC6"/>
    <w:rsid w:val="008E5C05"/>
    <w:rsid w:val="008E6A25"/>
    <w:rsid w:val="008F109B"/>
    <w:rsid w:val="008F166E"/>
    <w:rsid w:val="008F265A"/>
    <w:rsid w:val="008F365E"/>
    <w:rsid w:val="008F5193"/>
    <w:rsid w:val="008F5B16"/>
    <w:rsid w:val="008F5D26"/>
    <w:rsid w:val="008F5D2E"/>
    <w:rsid w:val="00900ABE"/>
    <w:rsid w:val="009013A7"/>
    <w:rsid w:val="009017FB"/>
    <w:rsid w:val="009017FC"/>
    <w:rsid w:val="009031FC"/>
    <w:rsid w:val="00903AB8"/>
    <w:rsid w:val="00904C9F"/>
    <w:rsid w:val="0090506B"/>
    <w:rsid w:val="009050C9"/>
    <w:rsid w:val="0090565E"/>
    <w:rsid w:val="009066FC"/>
    <w:rsid w:val="00906775"/>
    <w:rsid w:val="0091404A"/>
    <w:rsid w:val="009140A3"/>
    <w:rsid w:val="009144A2"/>
    <w:rsid w:val="0091510C"/>
    <w:rsid w:val="00915CA6"/>
    <w:rsid w:val="00916024"/>
    <w:rsid w:val="009215CF"/>
    <w:rsid w:val="0092287D"/>
    <w:rsid w:val="00923A02"/>
    <w:rsid w:val="009259AC"/>
    <w:rsid w:val="00926F38"/>
    <w:rsid w:val="00932028"/>
    <w:rsid w:val="00934301"/>
    <w:rsid w:val="009343E3"/>
    <w:rsid w:val="009349A2"/>
    <w:rsid w:val="009353A5"/>
    <w:rsid w:val="00936CD1"/>
    <w:rsid w:val="009376A1"/>
    <w:rsid w:val="00940F25"/>
    <w:rsid w:val="009412B1"/>
    <w:rsid w:val="00941747"/>
    <w:rsid w:val="00941EFB"/>
    <w:rsid w:val="00944A31"/>
    <w:rsid w:val="00946345"/>
    <w:rsid w:val="00947AFB"/>
    <w:rsid w:val="00950411"/>
    <w:rsid w:val="00950618"/>
    <w:rsid w:val="00950D6A"/>
    <w:rsid w:val="00951D7D"/>
    <w:rsid w:val="00953EDE"/>
    <w:rsid w:val="0096042D"/>
    <w:rsid w:val="00960BCC"/>
    <w:rsid w:val="009619E4"/>
    <w:rsid w:val="009630C7"/>
    <w:rsid w:val="00963DF4"/>
    <w:rsid w:val="009656A4"/>
    <w:rsid w:val="009660B9"/>
    <w:rsid w:val="00966758"/>
    <w:rsid w:val="0096750F"/>
    <w:rsid w:val="00972B55"/>
    <w:rsid w:val="00973316"/>
    <w:rsid w:val="00973536"/>
    <w:rsid w:val="009743B7"/>
    <w:rsid w:val="00974790"/>
    <w:rsid w:val="009815AA"/>
    <w:rsid w:val="00981724"/>
    <w:rsid w:val="00981A50"/>
    <w:rsid w:val="0098228B"/>
    <w:rsid w:val="009828DA"/>
    <w:rsid w:val="00983059"/>
    <w:rsid w:val="00983B82"/>
    <w:rsid w:val="00983DF4"/>
    <w:rsid w:val="00985B2E"/>
    <w:rsid w:val="00985BAB"/>
    <w:rsid w:val="00990137"/>
    <w:rsid w:val="009912A8"/>
    <w:rsid w:val="0099568E"/>
    <w:rsid w:val="00995FD6"/>
    <w:rsid w:val="009A42F0"/>
    <w:rsid w:val="009B04CD"/>
    <w:rsid w:val="009B1B5F"/>
    <w:rsid w:val="009B37A1"/>
    <w:rsid w:val="009B3EC0"/>
    <w:rsid w:val="009B4B04"/>
    <w:rsid w:val="009B5465"/>
    <w:rsid w:val="009B5AF9"/>
    <w:rsid w:val="009B6673"/>
    <w:rsid w:val="009B6C8B"/>
    <w:rsid w:val="009C106E"/>
    <w:rsid w:val="009C191B"/>
    <w:rsid w:val="009C20BC"/>
    <w:rsid w:val="009C2BD6"/>
    <w:rsid w:val="009C3BED"/>
    <w:rsid w:val="009D09BB"/>
    <w:rsid w:val="009D4F42"/>
    <w:rsid w:val="009D51C5"/>
    <w:rsid w:val="009D6ABD"/>
    <w:rsid w:val="009E17C8"/>
    <w:rsid w:val="009E1F32"/>
    <w:rsid w:val="009E28A1"/>
    <w:rsid w:val="009E776C"/>
    <w:rsid w:val="009E7B33"/>
    <w:rsid w:val="009F0211"/>
    <w:rsid w:val="009F3DFE"/>
    <w:rsid w:val="009F6EB6"/>
    <w:rsid w:val="009F7640"/>
    <w:rsid w:val="00A002A7"/>
    <w:rsid w:val="00A016C2"/>
    <w:rsid w:val="00A11961"/>
    <w:rsid w:val="00A124CB"/>
    <w:rsid w:val="00A14938"/>
    <w:rsid w:val="00A14E5D"/>
    <w:rsid w:val="00A153C5"/>
    <w:rsid w:val="00A153E9"/>
    <w:rsid w:val="00A156D1"/>
    <w:rsid w:val="00A1628D"/>
    <w:rsid w:val="00A17248"/>
    <w:rsid w:val="00A1726E"/>
    <w:rsid w:val="00A17BAB"/>
    <w:rsid w:val="00A204CF"/>
    <w:rsid w:val="00A23B0D"/>
    <w:rsid w:val="00A23D49"/>
    <w:rsid w:val="00A27004"/>
    <w:rsid w:val="00A30936"/>
    <w:rsid w:val="00A30C29"/>
    <w:rsid w:val="00A315F6"/>
    <w:rsid w:val="00A319DA"/>
    <w:rsid w:val="00A33D72"/>
    <w:rsid w:val="00A34303"/>
    <w:rsid w:val="00A34DD6"/>
    <w:rsid w:val="00A366F9"/>
    <w:rsid w:val="00A36819"/>
    <w:rsid w:val="00A36989"/>
    <w:rsid w:val="00A37C27"/>
    <w:rsid w:val="00A408A0"/>
    <w:rsid w:val="00A41976"/>
    <w:rsid w:val="00A41C39"/>
    <w:rsid w:val="00A43628"/>
    <w:rsid w:val="00A45145"/>
    <w:rsid w:val="00A47831"/>
    <w:rsid w:val="00A51932"/>
    <w:rsid w:val="00A5328B"/>
    <w:rsid w:val="00A53750"/>
    <w:rsid w:val="00A53C0D"/>
    <w:rsid w:val="00A54192"/>
    <w:rsid w:val="00A5451A"/>
    <w:rsid w:val="00A54B10"/>
    <w:rsid w:val="00A568A7"/>
    <w:rsid w:val="00A56FFB"/>
    <w:rsid w:val="00A57C3B"/>
    <w:rsid w:val="00A6035E"/>
    <w:rsid w:val="00A60573"/>
    <w:rsid w:val="00A6144C"/>
    <w:rsid w:val="00A66617"/>
    <w:rsid w:val="00A671F8"/>
    <w:rsid w:val="00A673A4"/>
    <w:rsid w:val="00A71277"/>
    <w:rsid w:val="00A717BA"/>
    <w:rsid w:val="00A7216C"/>
    <w:rsid w:val="00A724AE"/>
    <w:rsid w:val="00A73329"/>
    <w:rsid w:val="00A7380B"/>
    <w:rsid w:val="00A73F15"/>
    <w:rsid w:val="00A75DAA"/>
    <w:rsid w:val="00A76D77"/>
    <w:rsid w:val="00A774D8"/>
    <w:rsid w:val="00A82359"/>
    <w:rsid w:val="00A83432"/>
    <w:rsid w:val="00A83CC8"/>
    <w:rsid w:val="00A83F4D"/>
    <w:rsid w:val="00A8515B"/>
    <w:rsid w:val="00A86125"/>
    <w:rsid w:val="00A865D2"/>
    <w:rsid w:val="00A86D09"/>
    <w:rsid w:val="00A87D63"/>
    <w:rsid w:val="00A93690"/>
    <w:rsid w:val="00A94C20"/>
    <w:rsid w:val="00A96048"/>
    <w:rsid w:val="00AA21F4"/>
    <w:rsid w:val="00AA227F"/>
    <w:rsid w:val="00AA3BC7"/>
    <w:rsid w:val="00AA41B0"/>
    <w:rsid w:val="00AA49EF"/>
    <w:rsid w:val="00AA4FD4"/>
    <w:rsid w:val="00AA754A"/>
    <w:rsid w:val="00AA7A26"/>
    <w:rsid w:val="00AA7B00"/>
    <w:rsid w:val="00AB0304"/>
    <w:rsid w:val="00AB099E"/>
    <w:rsid w:val="00AB3E3A"/>
    <w:rsid w:val="00AB4328"/>
    <w:rsid w:val="00AB6EBA"/>
    <w:rsid w:val="00AB78CA"/>
    <w:rsid w:val="00AC080C"/>
    <w:rsid w:val="00AC0EBD"/>
    <w:rsid w:val="00AC137C"/>
    <w:rsid w:val="00AC5309"/>
    <w:rsid w:val="00AD28FC"/>
    <w:rsid w:val="00AD51AE"/>
    <w:rsid w:val="00AD5268"/>
    <w:rsid w:val="00AE0A2E"/>
    <w:rsid w:val="00AE180A"/>
    <w:rsid w:val="00AE354C"/>
    <w:rsid w:val="00AE6FFF"/>
    <w:rsid w:val="00AF1260"/>
    <w:rsid w:val="00AF30D4"/>
    <w:rsid w:val="00AF3EA4"/>
    <w:rsid w:val="00AF4224"/>
    <w:rsid w:val="00AF4B07"/>
    <w:rsid w:val="00AF6186"/>
    <w:rsid w:val="00AF7A3A"/>
    <w:rsid w:val="00B02403"/>
    <w:rsid w:val="00B05C38"/>
    <w:rsid w:val="00B06829"/>
    <w:rsid w:val="00B102E0"/>
    <w:rsid w:val="00B10719"/>
    <w:rsid w:val="00B126D5"/>
    <w:rsid w:val="00B13F30"/>
    <w:rsid w:val="00B160DB"/>
    <w:rsid w:val="00B1617A"/>
    <w:rsid w:val="00B20836"/>
    <w:rsid w:val="00B219A3"/>
    <w:rsid w:val="00B23127"/>
    <w:rsid w:val="00B235BB"/>
    <w:rsid w:val="00B244E6"/>
    <w:rsid w:val="00B25C7F"/>
    <w:rsid w:val="00B26C8C"/>
    <w:rsid w:val="00B2772A"/>
    <w:rsid w:val="00B27A44"/>
    <w:rsid w:val="00B27DC8"/>
    <w:rsid w:val="00B27EB5"/>
    <w:rsid w:val="00B30139"/>
    <w:rsid w:val="00B3092D"/>
    <w:rsid w:val="00B30BBF"/>
    <w:rsid w:val="00B33C03"/>
    <w:rsid w:val="00B341FF"/>
    <w:rsid w:val="00B36B75"/>
    <w:rsid w:val="00B41EA2"/>
    <w:rsid w:val="00B44E56"/>
    <w:rsid w:val="00B46543"/>
    <w:rsid w:val="00B47D33"/>
    <w:rsid w:val="00B509CE"/>
    <w:rsid w:val="00B52BE0"/>
    <w:rsid w:val="00B54133"/>
    <w:rsid w:val="00B54169"/>
    <w:rsid w:val="00B5643C"/>
    <w:rsid w:val="00B634C1"/>
    <w:rsid w:val="00B64EDE"/>
    <w:rsid w:val="00B65A3E"/>
    <w:rsid w:val="00B668D2"/>
    <w:rsid w:val="00B66AA0"/>
    <w:rsid w:val="00B67F6E"/>
    <w:rsid w:val="00B701ED"/>
    <w:rsid w:val="00B71219"/>
    <w:rsid w:val="00B71FFB"/>
    <w:rsid w:val="00B74DE2"/>
    <w:rsid w:val="00B75683"/>
    <w:rsid w:val="00B75BBD"/>
    <w:rsid w:val="00B7694D"/>
    <w:rsid w:val="00B8086C"/>
    <w:rsid w:val="00B824E1"/>
    <w:rsid w:val="00B82EC6"/>
    <w:rsid w:val="00B830D0"/>
    <w:rsid w:val="00B83FFA"/>
    <w:rsid w:val="00B850AB"/>
    <w:rsid w:val="00B861B4"/>
    <w:rsid w:val="00B86DFE"/>
    <w:rsid w:val="00B90990"/>
    <w:rsid w:val="00B91B15"/>
    <w:rsid w:val="00B922FF"/>
    <w:rsid w:val="00B92307"/>
    <w:rsid w:val="00B92609"/>
    <w:rsid w:val="00B9281E"/>
    <w:rsid w:val="00B93925"/>
    <w:rsid w:val="00B95187"/>
    <w:rsid w:val="00B95C29"/>
    <w:rsid w:val="00B96F32"/>
    <w:rsid w:val="00BA1D38"/>
    <w:rsid w:val="00BA20B1"/>
    <w:rsid w:val="00BA2D55"/>
    <w:rsid w:val="00BA33A7"/>
    <w:rsid w:val="00BA4AA7"/>
    <w:rsid w:val="00BA61EB"/>
    <w:rsid w:val="00BA71B1"/>
    <w:rsid w:val="00BA7CF6"/>
    <w:rsid w:val="00BB0338"/>
    <w:rsid w:val="00BB0637"/>
    <w:rsid w:val="00BB2632"/>
    <w:rsid w:val="00BB26E0"/>
    <w:rsid w:val="00BB345F"/>
    <w:rsid w:val="00BB42FF"/>
    <w:rsid w:val="00BB68EA"/>
    <w:rsid w:val="00BB7403"/>
    <w:rsid w:val="00BB7CF5"/>
    <w:rsid w:val="00BC1A90"/>
    <w:rsid w:val="00BC1C27"/>
    <w:rsid w:val="00BC21F7"/>
    <w:rsid w:val="00BC43AC"/>
    <w:rsid w:val="00BC4F91"/>
    <w:rsid w:val="00BC6BBF"/>
    <w:rsid w:val="00BC78CC"/>
    <w:rsid w:val="00BD1572"/>
    <w:rsid w:val="00BD1839"/>
    <w:rsid w:val="00BD23A5"/>
    <w:rsid w:val="00BD32AB"/>
    <w:rsid w:val="00BD5AE9"/>
    <w:rsid w:val="00BD66A4"/>
    <w:rsid w:val="00BD71C5"/>
    <w:rsid w:val="00BE101C"/>
    <w:rsid w:val="00BE14E3"/>
    <w:rsid w:val="00BE1DA7"/>
    <w:rsid w:val="00BE3774"/>
    <w:rsid w:val="00BE41E5"/>
    <w:rsid w:val="00BE4E85"/>
    <w:rsid w:val="00BE6164"/>
    <w:rsid w:val="00BE636A"/>
    <w:rsid w:val="00BE6C8A"/>
    <w:rsid w:val="00BF247D"/>
    <w:rsid w:val="00BF31A3"/>
    <w:rsid w:val="00BF31E2"/>
    <w:rsid w:val="00BF37BA"/>
    <w:rsid w:val="00BF4109"/>
    <w:rsid w:val="00BF4812"/>
    <w:rsid w:val="00BF4CC3"/>
    <w:rsid w:val="00C014AB"/>
    <w:rsid w:val="00C01A67"/>
    <w:rsid w:val="00C04994"/>
    <w:rsid w:val="00C054C7"/>
    <w:rsid w:val="00C057B5"/>
    <w:rsid w:val="00C06D12"/>
    <w:rsid w:val="00C07AB9"/>
    <w:rsid w:val="00C12A62"/>
    <w:rsid w:val="00C144B8"/>
    <w:rsid w:val="00C16482"/>
    <w:rsid w:val="00C20F73"/>
    <w:rsid w:val="00C225BE"/>
    <w:rsid w:val="00C22687"/>
    <w:rsid w:val="00C239EF"/>
    <w:rsid w:val="00C24299"/>
    <w:rsid w:val="00C25F96"/>
    <w:rsid w:val="00C264B2"/>
    <w:rsid w:val="00C264C5"/>
    <w:rsid w:val="00C302FE"/>
    <w:rsid w:val="00C315B9"/>
    <w:rsid w:val="00C32E4D"/>
    <w:rsid w:val="00C333A0"/>
    <w:rsid w:val="00C358F9"/>
    <w:rsid w:val="00C3666E"/>
    <w:rsid w:val="00C36A81"/>
    <w:rsid w:val="00C379BC"/>
    <w:rsid w:val="00C41974"/>
    <w:rsid w:val="00C41D7B"/>
    <w:rsid w:val="00C42003"/>
    <w:rsid w:val="00C426B6"/>
    <w:rsid w:val="00C520AB"/>
    <w:rsid w:val="00C52643"/>
    <w:rsid w:val="00C536A6"/>
    <w:rsid w:val="00C53F4A"/>
    <w:rsid w:val="00C54125"/>
    <w:rsid w:val="00C55B54"/>
    <w:rsid w:val="00C57073"/>
    <w:rsid w:val="00C6098E"/>
    <w:rsid w:val="00C6152C"/>
    <w:rsid w:val="00C621C0"/>
    <w:rsid w:val="00C621C2"/>
    <w:rsid w:val="00C63D7F"/>
    <w:rsid w:val="00C6720C"/>
    <w:rsid w:val="00C675AE"/>
    <w:rsid w:val="00C70E74"/>
    <w:rsid w:val="00C720DD"/>
    <w:rsid w:val="00C733AF"/>
    <w:rsid w:val="00C74810"/>
    <w:rsid w:val="00C802DB"/>
    <w:rsid w:val="00C8179A"/>
    <w:rsid w:val="00C834DA"/>
    <w:rsid w:val="00C83C4A"/>
    <w:rsid w:val="00C84856"/>
    <w:rsid w:val="00C85C6C"/>
    <w:rsid w:val="00C8795F"/>
    <w:rsid w:val="00C87F9B"/>
    <w:rsid w:val="00C90D68"/>
    <w:rsid w:val="00C923FE"/>
    <w:rsid w:val="00C939FE"/>
    <w:rsid w:val="00C94EDB"/>
    <w:rsid w:val="00CA0771"/>
    <w:rsid w:val="00CA2A9F"/>
    <w:rsid w:val="00CA483B"/>
    <w:rsid w:val="00CA4BDA"/>
    <w:rsid w:val="00CA6AC6"/>
    <w:rsid w:val="00CA78C3"/>
    <w:rsid w:val="00CB1F66"/>
    <w:rsid w:val="00CB21EA"/>
    <w:rsid w:val="00CB2951"/>
    <w:rsid w:val="00CB427F"/>
    <w:rsid w:val="00CB45EE"/>
    <w:rsid w:val="00CB7DCA"/>
    <w:rsid w:val="00CC0EE0"/>
    <w:rsid w:val="00CC49B2"/>
    <w:rsid w:val="00CC6809"/>
    <w:rsid w:val="00CC7A52"/>
    <w:rsid w:val="00CD0D23"/>
    <w:rsid w:val="00CD1AFB"/>
    <w:rsid w:val="00CD1BC6"/>
    <w:rsid w:val="00CD282B"/>
    <w:rsid w:val="00CD4C35"/>
    <w:rsid w:val="00CD72C7"/>
    <w:rsid w:val="00CD7369"/>
    <w:rsid w:val="00CD78E4"/>
    <w:rsid w:val="00CE0B0E"/>
    <w:rsid w:val="00CE2B0D"/>
    <w:rsid w:val="00CE3831"/>
    <w:rsid w:val="00CE385B"/>
    <w:rsid w:val="00CE42F4"/>
    <w:rsid w:val="00CE5237"/>
    <w:rsid w:val="00CE5DFF"/>
    <w:rsid w:val="00CE71DF"/>
    <w:rsid w:val="00CE738A"/>
    <w:rsid w:val="00CE7A3C"/>
    <w:rsid w:val="00CF069A"/>
    <w:rsid w:val="00CF0E25"/>
    <w:rsid w:val="00CF1FD3"/>
    <w:rsid w:val="00CF256C"/>
    <w:rsid w:val="00CF43A5"/>
    <w:rsid w:val="00CF4C06"/>
    <w:rsid w:val="00CF5AF9"/>
    <w:rsid w:val="00CF7705"/>
    <w:rsid w:val="00CF7EB3"/>
    <w:rsid w:val="00D00ABB"/>
    <w:rsid w:val="00D01166"/>
    <w:rsid w:val="00D0127D"/>
    <w:rsid w:val="00D023D0"/>
    <w:rsid w:val="00D02EEC"/>
    <w:rsid w:val="00D03551"/>
    <w:rsid w:val="00D04291"/>
    <w:rsid w:val="00D0636F"/>
    <w:rsid w:val="00D06A63"/>
    <w:rsid w:val="00D070B7"/>
    <w:rsid w:val="00D07E0E"/>
    <w:rsid w:val="00D11478"/>
    <w:rsid w:val="00D15ED0"/>
    <w:rsid w:val="00D20450"/>
    <w:rsid w:val="00D21B3E"/>
    <w:rsid w:val="00D21FED"/>
    <w:rsid w:val="00D23BCA"/>
    <w:rsid w:val="00D23EA1"/>
    <w:rsid w:val="00D24126"/>
    <w:rsid w:val="00D24251"/>
    <w:rsid w:val="00D257F9"/>
    <w:rsid w:val="00D26141"/>
    <w:rsid w:val="00D27416"/>
    <w:rsid w:val="00D27AC5"/>
    <w:rsid w:val="00D31801"/>
    <w:rsid w:val="00D320F2"/>
    <w:rsid w:val="00D32B3D"/>
    <w:rsid w:val="00D343E2"/>
    <w:rsid w:val="00D357DA"/>
    <w:rsid w:val="00D361A2"/>
    <w:rsid w:val="00D366E8"/>
    <w:rsid w:val="00D406D0"/>
    <w:rsid w:val="00D43CAA"/>
    <w:rsid w:val="00D44188"/>
    <w:rsid w:val="00D44C2E"/>
    <w:rsid w:val="00D45414"/>
    <w:rsid w:val="00D45454"/>
    <w:rsid w:val="00D45E27"/>
    <w:rsid w:val="00D501E3"/>
    <w:rsid w:val="00D5123F"/>
    <w:rsid w:val="00D51DD1"/>
    <w:rsid w:val="00D52507"/>
    <w:rsid w:val="00D53B44"/>
    <w:rsid w:val="00D53DBD"/>
    <w:rsid w:val="00D53FA9"/>
    <w:rsid w:val="00D54204"/>
    <w:rsid w:val="00D5454C"/>
    <w:rsid w:val="00D566BD"/>
    <w:rsid w:val="00D57A4D"/>
    <w:rsid w:val="00D60AA7"/>
    <w:rsid w:val="00D60D87"/>
    <w:rsid w:val="00D62749"/>
    <w:rsid w:val="00D62CE1"/>
    <w:rsid w:val="00D63A43"/>
    <w:rsid w:val="00D6435F"/>
    <w:rsid w:val="00D67A9B"/>
    <w:rsid w:val="00D67F37"/>
    <w:rsid w:val="00D71D8B"/>
    <w:rsid w:val="00D72206"/>
    <w:rsid w:val="00D73AE5"/>
    <w:rsid w:val="00D74B34"/>
    <w:rsid w:val="00D75E28"/>
    <w:rsid w:val="00D772C2"/>
    <w:rsid w:val="00D8008E"/>
    <w:rsid w:val="00D800C7"/>
    <w:rsid w:val="00D820D6"/>
    <w:rsid w:val="00D82631"/>
    <w:rsid w:val="00D82C45"/>
    <w:rsid w:val="00D83FF5"/>
    <w:rsid w:val="00D902FB"/>
    <w:rsid w:val="00D908A8"/>
    <w:rsid w:val="00D913BF"/>
    <w:rsid w:val="00D915A5"/>
    <w:rsid w:val="00D91E8E"/>
    <w:rsid w:val="00D939A1"/>
    <w:rsid w:val="00D96895"/>
    <w:rsid w:val="00D97419"/>
    <w:rsid w:val="00D977B6"/>
    <w:rsid w:val="00DA1E59"/>
    <w:rsid w:val="00DA2E6B"/>
    <w:rsid w:val="00DA4A31"/>
    <w:rsid w:val="00DA585F"/>
    <w:rsid w:val="00DA6BC0"/>
    <w:rsid w:val="00DA7002"/>
    <w:rsid w:val="00DA7613"/>
    <w:rsid w:val="00DA7B04"/>
    <w:rsid w:val="00DB1A83"/>
    <w:rsid w:val="00DB1D2C"/>
    <w:rsid w:val="00DB23C4"/>
    <w:rsid w:val="00DB3363"/>
    <w:rsid w:val="00DB367D"/>
    <w:rsid w:val="00DB36C2"/>
    <w:rsid w:val="00DB6E30"/>
    <w:rsid w:val="00DC169B"/>
    <w:rsid w:val="00DC2AB9"/>
    <w:rsid w:val="00DC35F9"/>
    <w:rsid w:val="00DC561C"/>
    <w:rsid w:val="00DC63F0"/>
    <w:rsid w:val="00DD0390"/>
    <w:rsid w:val="00DD66BE"/>
    <w:rsid w:val="00DD6EE5"/>
    <w:rsid w:val="00DD7A5E"/>
    <w:rsid w:val="00DE3700"/>
    <w:rsid w:val="00DE386C"/>
    <w:rsid w:val="00DE3CC4"/>
    <w:rsid w:val="00DE492C"/>
    <w:rsid w:val="00DE4D35"/>
    <w:rsid w:val="00DE5572"/>
    <w:rsid w:val="00DE6C5A"/>
    <w:rsid w:val="00DF0549"/>
    <w:rsid w:val="00DF098B"/>
    <w:rsid w:val="00DF11C4"/>
    <w:rsid w:val="00DF210C"/>
    <w:rsid w:val="00DF4050"/>
    <w:rsid w:val="00DF4B6A"/>
    <w:rsid w:val="00E02C09"/>
    <w:rsid w:val="00E04167"/>
    <w:rsid w:val="00E04D59"/>
    <w:rsid w:val="00E06A20"/>
    <w:rsid w:val="00E07224"/>
    <w:rsid w:val="00E07DA1"/>
    <w:rsid w:val="00E07F09"/>
    <w:rsid w:val="00E123CB"/>
    <w:rsid w:val="00E12CDC"/>
    <w:rsid w:val="00E13151"/>
    <w:rsid w:val="00E13D8D"/>
    <w:rsid w:val="00E15C77"/>
    <w:rsid w:val="00E20E13"/>
    <w:rsid w:val="00E2102F"/>
    <w:rsid w:val="00E21DBC"/>
    <w:rsid w:val="00E22525"/>
    <w:rsid w:val="00E24964"/>
    <w:rsid w:val="00E26DA2"/>
    <w:rsid w:val="00E27513"/>
    <w:rsid w:val="00E275D7"/>
    <w:rsid w:val="00E27DBE"/>
    <w:rsid w:val="00E27E3F"/>
    <w:rsid w:val="00E323AB"/>
    <w:rsid w:val="00E32581"/>
    <w:rsid w:val="00E32AB1"/>
    <w:rsid w:val="00E3356A"/>
    <w:rsid w:val="00E354A7"/>
    <w:rsid w:val="00E36C71"/>
    <w:rsid w:val="00E37577"/>
    <w:rsid w:val="00E40404"/>
    <w:rsid w:val="00E41DA1"/>
    <w:rsid w:val="00E4399D"/>
    <w:rsid w:val="00E43DD6"/>
    <w:rsid w:val="00E44870"/>
    <w:rsid w:val="00E459C6"/>
    <w:rsid w:val="00E464C3"/>
    <w:rsid w:val="00E47589"/>
    <w:rsid w:val="00E50E44"/>
    <w:rsid w:val="00E515A1"/>
    <w:rsid w:val="00E5165F"/>
    <w:rsid w:val="00E52210"/>
    <w:rsid w:val="00E52218"/>
    <w:rsid w:val="00E538E8"/>
    <w:rsid w:val="00E54197"/>
    <w:rsid w:val="00E55FC5"/>
    <w:rsid w:val="00E62CDA"/>
    <w:rsid w:val="00E63D77"/>
    <w:rsid w:val="00E64915"/>
    <w:rsid w:val="00E661D4"/>
    <w:rsid w:val="00E70091"/>
    <w:rsid w:val="00E7067B"/>
    <w:rsid w:val="00E720F5"/>
    <w:rsid w:val="00E7383B"/>
    <w:rsid w:val="00E75C51"/>
    <w:rsid w:val="00E76D47"/>
    <w:rsid w:val="00E849F7"/>
    <w:rsid w:val="00E84E78"/>
    <w:rsid w:val="00E8698D"/>
    <w:rsid w:val="00E87C52"/>
    <w:rsid w:val="00E90302"/>
    <w:rsid w:val="00E933AB"/>
    <w:rsid w:val="00E94868"/>
    <w:rsid w:val="00E957E4"/>
    <w:rsid w:val="00E967B2"/>
    <w:rsid w:val="00E97396"/>
    <w:rsid w:val="00E97B48"/>
    <w:rsid w:val="00E97D7F"/>
    <w:rsid w:val="00EA0C94"/>
    <w:rsid w:val="00EA14F6"/>
    <w:rsid w:val="00EA185E"/>
    <w:rsid w:val="00EA1CDE"/>
    <w:rsid w:val="00EA1EA9"/>
    <w:rsid w:val="00EA592A"/>
    <w:rsid w:val="00EA5A65"/>
    <w:rsid w:val="00EA5D5C"/>
    <w:rsid w:val="00EA654E"/>
    <w:rsid w:val="00EA7152"/>
    <w:rsid w:val="00EB119B"/>
    <w:rsid w:val="00EB14E4"/>
    <w:rsid w:val="00EB32A5"/>
    <w:rsid w:val="00EB34ED"/>
    <w:rsid w:val="00EB43AC"/>
    <w:rsid w:val="00EB4AA9"/>
    <w:rsid w:val="00EB4CA6"/>
    <w:rsid w:val="00EB5358"/>
    <w:rsid w:val="00EB61B2"/>
    <w:rsid w:val="00EB67B2"/>
    <w:rsid w:val="00EB6F71"/>
    <w:rsid w:val="00EB7BE0"/>
    <w:rsid w:val="00EC018D"/>
    <w:rsid w:val="00EC03DD"/>
    <w:rsid w:val="00EC0927"/>
    <w:rsid w:val="00EC2807"/>
    <w:rsid w:val="00EC315E"/>
    <w:rsid w:val="00EC43FF"/>
    <w:rsid w:val="00EC448B"/>
    <w:rsid w:val="00EC5146"/>
    <w:rsid w:val="00EC6684"/>
    <w:rsid w:val="00ED0008"/>
    <w:rsid w:val="00ED077C"/>
    <w:rsid w:val="00ED1190"/>
    <w:rsid w:val="00ED26BF"/>
    <w:rsid w:val="00ED28E6"/>
    <w:rsid w:val="00ED33E2"/>
    <w:rsid w:val="00ED5FB9"/>
    <w:rsid w:val="00ED6544"/>
    <w:rsid w:val="00EE0277"/>
    <w:rsid w:val="00EE0AF7"/>
    <w:rsid w:val="00EE1DA9"/>
    <w:rsid w:val="00EE24ED"/>
    <w:rsid w:val="00EE3E00"/>
    <w:rsid w:val="00EE5DD2"/>
    <w:rsid w:val="00EF03A7"/>
    <w:rsid w:val="00EF363A"/>
    <w:rsid w:val="00EF711C"/>
    <w:rsid w:val="00EF77E3"/>
    <w:rsid w:val="00EF7BB1"/>
    <w:rsid w:val="00EF7E12"/>
    <w:rsid w:val="00EF7F28"/>
    <w:rsid w:val="00F00A79"/>
    <w:rsid w:val="00F00E86"/>
    <w:rsid w:val="00F0107C"/>
    <w:rsid w:val="00F056A0"/>
    <w:rsid w:val="00F0615F"/>
    <w:rsid w:val="00F07C1E"/>
    <w:rsid w:val="00F105AA"/>
    <w:rsid w:val="00F105DB"/>
    <w:rsid w:val="00F106DA"/>
    <w:rsid w:val="00F132BC"/>
    <w:rsid w:val="00F13D80"/>
    <w:rsid w:val="00F15B44"/>
    <w:rsid w:val="00F16AAA"/>
    <w:rsid w:val="00F17FD6"/>
    <w:rsid w:val="00F203B0"/>
    <w:rsid w:val="00F21161"/>
    <w:rsid w:val="00F218EF"/>
    <w:rsid w:val="00F21BC7"/>
    <w:rsid w:val="00F241A2"/>
    <w:rsid w:val="00F266A2"/>
    <w:rsid w:val="00F30110"/>
    <w:rsid w:val="00F315B1"/>
    <w:rsid w:val="00F32269"/>
    <w:rsid w:val="00F34770"/>
    <w:rsid w:val="00F36354"/>
    <w:rsid w:val="00F3746D"/>
    <w:rsid w:val="00F37C1E"/>
    <w:rsid w:val="00F40648"/>
    <w:rsid w:val="00F416C9"/>
    <w:rsid w:val="00F42150"/>
    <w:rsid w:val="00F431D2"/>
    <w:rsid w:val="00F4432D"/>
    <w:rsid w:val="00F45D24"/>
    <w:rsid w:val="00F47DF2"/>
    <w:rsid w:val="00F51B99"/>
    <w:rsid w:val="00F5224C"/>
    <w:rsid w:val="00F531EE"/>
    <w:rsid w:val="00F53865"/>
    <w:rsid w:val="00F554EA"/>
    <w:rsid w:val="00F5575F"/>
    <w:rsid w:val="00F55972"/>
    <w:rsid w:val="00F56A6F"/>
    <w:rsid w:val="00F5709C"/>
    <w:rsid w:val="00F60409"/>
    <w:rsid w:val="00F60B11"/>
    <w:rsid w:val="00F62DA2"/>
    <w:rsid w:val="00F632A4"/>
    <w:rsid w:val="00F6343E"/>
    <w:rsid w:val="00F64EF1"/>
    <w:rsid w:val="00F655A7"/>
    <w:rsid w:val="00F65C3E"/>
    <w:rsid w:val="00F6682D"/>
    <w:rsid w:val="00F67354"/>
    <w:rsid w:val="00F6783C"/>
    <w:rsid w:val="00F679CB"/>
    <w:rsid w:val="00F71E74"/>
    <w:rsid w:val="00F728E6"/>
    <w:rsid w:val="00F74808"/>
    <w:rsid w:val="00F775F6"/>
    <w:rsid w:val="00F8280F"/>
    <w:rsid w:val="00F847F2"/>
    <w:rsid w:val="00F84F34"/>
    <w:rsid w:val="00F8765F"/>
    <w:rsid w:val="00F87E2B"/>
    <w:rsid w:val="00F90767"/>
    <w:rsid w:val="00F9338C"/>
    <w:rsid w:val="00F9445B"/>
    <w:rsid w:val="00F96829"/>
    <w:rsid w:val="00F9739A"/>
    <w:rsid w:val="00FA0A40"/>
    <w:rsid w:val="00FA0A50"/>
    <w:rsid w:val="00FA17DA"/>
    <w:rsid w:val="00FA2077"/>
    <w:rsid w:val="00FA5713"/>
    <w:rsid w:val="00FA5BA9"/>
    <w:rsid w:val="00FA660E"/>
    <w:rsid w:val="00FA685B"/>
    <w:rsid w:val="00FA6864"/>
    <w:rsid w:val="00FA793D"/>
    <w:rsid w:val="00FB0C01"/>
    <w:rsid w:val="00FB26F5"/>
    <w:rsid w:val="00FB6F26"/>
    <w:rsid w:val="00FB7AD6"/>
    <w:rsid w:val="00FC024E"/>
    <w:rsid w:val="00FC0D8C"/>
    <w:rsid w:val="00FC18F2"/>
    <w:rsid w:val="00FC2BD7"/>
    <w:rsid w:val="00FC39E5"/>
    <w:rsid w:val="00FC3A78"/>
    <w:rsid w:val="00FC4DBF"/>
    <w:rsid w:val="00FC6819"/>
    <w:rsid w:val="00FC6A61"/>
    <w:rsid w:val="00FC78D5"/>
    <w:rsid w:val="00FD0B91"/>
    <w:rsid w:val="00FD1005"/>
    <w:rsid w:val="00FD36B1"/>
    <w:rsid w:val="00FD3973"/>
    <w:rsid w:val="00FD4929"/>
    <w:rsid w:val="00FD68F7"/>
    <w:rsid w:val="00FD6C75"/>
    <w:rsid w:val="00FE043C"/>
    <w:rsid w:val="00FE0A85"/>
    <w:rsid w:val="00FE1E59"/>
    <w:rsid w:val="00FE2FD2"/>
    <w:rsid w:val="00FE3B42"/>
    <w:rsid w:val="00FE5907"/>
    <w:rsid w:val="00FE71B3"/>
    <w:rsid w:val="00FF2306"/>
    <w:rsid w:val="00FF2DAF"/>
    <w:rsid w:val="00FF42C5"/>
    <w:rsid w:val="00FF44F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uiPriority="35" w:qFormat="1"/>
    <w:lsdException w:name="footnote reference" w:locked="1" w:semiHidden="1" w:uiPriority="99" w:unhideWhenUsed="1"/>
    <w:lsdException w:name="annotation reference" w:locked="1" w:semiHidden="1" w:uiPriority="99" w:unhideWhenUsed="1"/>
    <w:lsdException w:name="page number"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B4C2E"/>
    <w:pPr>
      <w:jc w:val="both"/>
    </w:pPr>
    <w:rPr>
      <w:sz w:val="24"/>
      <w:szCs w:val="24"/>
      <w:lang w:val="en-US" w:eastAsia="en-US"/>
    </w:rPr>
  </w:style>
  <w:style w:type="paragraph" w:styleId="Heading1">
    <w:name w:val="heading 1"/>
    <w:basedOn w:val="Normal"/>
    <w:next w:val="Normal"/>
    <w:link w:val="Heading1Char"/>
    <w:uiPriority w:val="99"/>
    <w:qFormat/>
    <w:rsid w:val="00941747"/>
    <w:pPr>
      <w:numPr>
        <w:numId w:val="43"/>
      </w:numPr>
      <w:spacing w:before="480"/>
      <w:jc w:val="left"/>
      <w:outlineLvl w:val="0"/>
    </w:pPr>
    <w:rPr>
      <w:b/>
      <w:bCs/>
      <w:color w:val="333333"/>
      <w:sz w:val="28"/>
      <w:szCs w:val="28"/>
    </w:rPr>
  </w:style>
  <w:style w:type="paragraph" w:styleId="Heading2">
    <w:name w:val="heading 2"/>
    <w:basedOn w:val="Normal"/>
    <w:next w:val="Normal"/>
    <w:link w:val="Heading2Char"/>
    <w:uiPriority w:val="99"/>
    <w:qFormat/>
    <w:rsid w:val="00941747"/>
    <w:pPr>
      <w:numPr>
        <w:ilvl w:val="1"/>
        <w:numId w:val="43"/>
      </w:numPr>
      <w:spacing w:before="200"/>
      <w:jc w:val="left"/>
      <w:outlineLvl w:val="1"/>
    </w:pPr>
    <w:rPr>
      <w:b/>
      <w:bCs/>
      <w:color w:val="4D4D4D"/>
      <w:sz w:val="26"/>
      <w:szCs w:val="26"/>
    </w:rPr>
  </w:style>
  <w:style w:type="paragraph" w:styleId="Heading3">
    <w:name w:val="heading 3"/>
    <w:basedOn w:val="Normal"/>
    <w:next w:val="Normal"/>
    <w:link w:val="Heading3Char"/>
    <w:uiPriority w:val="99"/>
    <w:qFormat/>
    <w:rsid w:val="00941747"/>
    <w:pPr>
      <w:numPr>
        <w:ilvl w:val="2"/>
        <w:numId w:val="43"/>
      </w:numPr>
      <w:spacing w:before="200" w:line="271" w:lineRule="auto"/>
      <w:jc w:val="left"/>
      <w:outlineLvl w:val="2"/>
    </w:pPr>
    <w:rPr>
      <w:b/>
      <w:bCs/>
      <w:color w:val="5F5F5F"/>
    </w:rPr>
  </w:style>
  <w:style w:type="paragraph" w:styleId="Heading4">
    <w:name w:val="heading 4"/>
    <w:basedOn w:val="Normal"/>
    <w:next w:val="Normal"/>
    <w:link w:val="Heading4Char"/>
    <w:uiPriority w:val="99"/>
    <w:qFormat/>
    <w:rsid w:val="00941747"/>
    <w:pPr>
      <w:numPr>
        <w:ilvl w:val="3"/>
        <w:numId w:val="43"/>
      </w:numPr>
      <w:spacing w:before="200"/>
      <w:jc w:val="left"/>
      <w:outlineLvl w:val="3"/>
    </w:pPr>
    <w:rPr>
      <w:b/>
      <w:bCs/>
      <w:i/>
      <w:iCs/>
      <w:color w:val="777777"/>
    </w:rPr>
  </w:style>
  <w:style w:type="paragraph" w:styleId="Heading5">
    <w:name w:val="heading 5"/>
    <w:basedOn w:val="Normal"/>
    <w:next w:val="Normal"/>
    <w:link w:val="Heading5Char"/>
    <w:uiPriority w:val="99"/>
    <w:qFormat/>
    <w:rsid w:val="001B4C2E"/>
    <w:pPr>
      <w:spacing w:before="200"/>
      <w:outlineLvl w:val="4"/>
    </w:pPr>
    <w:rPr>
      <w:b/>
      <w:bCs/>
      <w:color w:val="808080"/>
      <w:sz w:val="20"/>
      <w:szCs w:val="20"/>
      <w:lang w:val="pl-PL" w:eastAsia="pl-PL"/>
    </w:rPr>
  </w:style>
  <w:style w:type="paragraph" w:styleId="Heading6">
    <w:name w:val="heading 6"/>
    <w:basedOn w:val="Normal"/>
    <w:next w:val="Normal"/>
    <w:link w:val="Heading6Char"/>
    <w:uiPriority w:val="99"/>
    <w:qFormat/>
    <w:rsid w:val="00941747"/>
    <w:pPr>
      <w:numPr>
        <w:ilvl w:val="5"/>
        <w:numId w:val="43"/>
      </w:numPr>
      <w:spacing w:line="271" w:lineRule="auto"/>
      <w:jc w:val="left"/>
      <w:outlineLvl w:val="5"/>
    </w:pPr>
    <w:rPr>
      <w:b/>
      <w:bCs/>
      <w:i/>
      <w:iCs/>
      <w:color w:val="7F7F7F"/>
    </w:rPr>
  </w:style>
  <w:style w:type="paragraph" w:styleId="Heading7">
    <w:name w:val="heading 7"/>
    <w:basedOn w:val="Normal"/>
    <w:next w:val="Normal"/>
    <w:link w:val="Heading7Char"/>
    <w:uiPriority w:val="99"/>
    <w:qFormat/>
    <w:rsid w:val="001B4C2E"/>
    <w:pPr>
      <w:outlineLvl w:val="6"/>
    </w:pPr>
    <w:rPr>
      <w:i/>
      <w:iCs/>
      <w:sz w:val="20"/>
      <w:szCs w:val="20"/>
      <w:lang w:val="pl-PL" w:eastAsia="pl-PL"/>
    </w:rPr>
  </w:style>
  <w:style w:type="paragraph" w:styleId="Heading8">
    <w:name w:val="heading 8"/>
    <w:basedOn w:val="Normal"/>
    <w:next w:val="Normal"/>
    <w:link w:val="Heading8Char"/>
    <w:uiPriority w:val="99"/>
    <w:qFormat/>
    <w:rsid w:val="001B4C2E"/>
    <w:pPr>
      <w:outlineLvl w:val="7"/>
    </w:pPr>
    <w:rPr>
      <w:sz w:val="20"/>
      <w:szCs w:val="20"/>
      <w:lang w:val="pl-PL" w:eastAsia="pl-PL"/>
    </w:rPr>
  </w:style>
  <w:style w:type="paragraph" w:styleId="Heading9">
    <w:name w:val="heading 9"/>
    <w:basedOn w:val="Normal"/>
    <w:next w:val="Normal"/>
    <w:link w:val="Heading9Char"/>
    <w:uiPriority w:val="99"/>
    <w:qFormat/>
    <w:rsid w:val="001B4C2E"/>
    <w:pPr>
      <w:outlineLvl w:val="8"/>
    </w:pPr>
    <w:rPr>
      <w:i/>
      <w:iCs/>
      <w:spacing w:val="5"/>
      <w:sz w:val="20"/>
      <w:szCs w:val="20"/>
      <w:lang w:val="pl-PL"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71F8"/>
    <w:rPr>
      <w:b/>
      <w:bCs/>
      <w:color w:val="333333"/>
      <w:sz w:val="28"/>
      <w:szCs w:val="28"/>
      <w:lang w:val="en-US" w:eastAsia="en-US"/>
    </w:rPr>
  </w:style>
  <w:style w:type="character" w:customStyle="1" w:styleId="Heading2Char">
    <w:name w:val="Heading 2 Char"/>
    <w:basedOn w:val="DefaultParagraphFont"/>
    <w:link w:val="Heading2"/>
    <w:uiPriority w:val="99"/>
    <w:locked/>
    <w:rsid w:val="00A671F8"/>
    <w:rPr>
      <w:b/>
      <w:bCs/>
      <w:color w:val="4D4D4D"/>
      <w:sz w:val="26"/>
      <w:szCs w:val="26"/>
      <w:lang w:val="en-US" w:eastAsia="en-US"/>
    </w:rPr>
  </w:style>
  <w:style w:type="character" w:customStyle="1" w:styleId="Heading3Char">
    <w:name w:val="Heading 3 Char"/>
    <w:basedOn w:val="DefaultParagraphFont"/>
    <w:link w:val="Heading3"/>
    <w:uiPriority w:val="99"/>
    <w:locked/>
    <w:rsid w:val="00A671F8"/>
    <w:rPr>
      <w:b/>
      <w:bCs/>
      <w:color w:val="5F5F5F"/>
      <w:sz w:val="24"/>
      <w:szCs w:val="24"/>
      <w:lang w:val="en-US" w:eastAsia="en-US"/>
    </w:rPr>
  </w:style>
  <w:style w:type="character" w:customStyle="1" w:styleId="Heading4Char">
    <w:name w:val="Heading 4 Char"/>
    <w:basedOn w:val="DefaultParagraphFont"/>
    <w:link w:val="Heading4"/>
    <w:uiPriority w:val="99"/>
    <w:locked/>
    <w:rsid w:val="00A671F8"/>
    <w:rPr>
      <w:b/>
      <w:bCs/>
      <w:i/>
      <w:iCs/>
      <w:color w:val="777777"/>
      <w:sz w:val="24"/>
      <w:szCs w:val="24"/>
      <w:lang w:val="en-US" w:eastAsia="en-US"/>
    </w:rPr>
  </w:style>
  <w:style w:type="character" w:customStyle="1" w:styleId="Heading5Char">
    <w:name w:val="Heading 5 Char"/>
    <w:basedOn w:val="DefaultParagraphFont"/>
    <w:link w:val="Heading5"/>
    <w:uiPriority w:val="99"/>
    <w:semiHidden/>
    <w:locked/>
    <w:rsid w:val="001B4C2E"/>
    <w:rPr>
      <w:rFonts w:ascii="Times New Roman" w:hAnsi="Times New Roman" w:cs="Times New Roman"/>
      <w:b/>
      <w:bCs/>
      <w:color w:val="808080"/>
    </w:rPr>
  </w:style>
  <w:style w:type="character" w:customStyle="1" w:styleId="Heading6Char">
    <w:name w:val="Heading 6 Char"/>
    <w:basedOn w:val="DefaultParagraphFont"/>
    <w:link w:val="Heading6"/>
    <w:uiPriority w:val="99"/>
    <w:locked/>
    <w:rsid w:val="00A671F8"/>
    <w:rPr>
      <w:b/>
      <w:bCs/>
      <w:i/>
      <w:iCs/>
      <w:color w:val="7F7F7F"/>
      <w:sz w:val="24"/>
      <w:szCs w:val="24"/>
      <w:lang w:val="en-US" w:eastAsia="en-US"/>
    </w:rPr>
  </w:style>
  <w:style w:type="character" w:customStyle="1" w:styleId="Heading7Char">
    <w:name w:val="Heading 7 Char"/>
    <w:basedOn w:val="DefaultParagraphFont"/>
    <w:link w:val="Heading7"/>
    <w:uiPriority w:val="99"/>
    <w:semiHidden/>
    <w:locked/>
    <w:rsid w:val="001B4C2E"/>
    <w:rPr>
      <w:rFonts w:ascii="Times New Roman" w:hAnsi="Times New Roman" w:cs="Times New Roman"/>
      <w:i/>
      <w:iCs/>
    </w:rPr>
  </w:style>
  <w:style w:type="character" w:customStyle="1" w:styleId="Heading8Char">
    <w:name w:val="Heading 8 Char"/>
    <w:basedOn w:val="DefaultParagraphFont"/>
    <w:link w:val="Heading8"/>
    <w:uiPriority w:val="99"/>
    <w:semiHidden/>
    <w:locked/>
    <w:rsid w:val="001B4C2E"/>
    <w:rPr>
      <w:rFonts w:ascii="Times New Roman" w:hAnsi="Times New Roman" w:cs="Times New Roman"/>
      <w:sz w:val="20"/>
      <w:szCs w:val="20"/>
    </w:rPr>
  </w:style>
  <w:style w:type="character" w:customStyle="1" w:styleId="Heading9Char">
    <w:name w:val="Heading 9 Char"/>
    <w:basedOn w:val="DefaultParagraphFont"/>
    <w:link w:val="Heading9"/>
    <w:uiPriority w:val="99"/>
    <w:semiHidden/>
    <w:locked/>
    <w:rsid w:val="001B4C2E"/>
    <w:rPr>
      <w:rFonts w:ascii="Times New Roman" w:hAnsi="Times New Roman" w:cs="Times New Roman"/>
      <w:i/>
      <w:iCs/>
      <w:spacing w:val="5"/>
      <w:sz w:val="20"/>
      <w:szCs w:val="20"/>
    </w:rPr>
  </w:style>
  <w:style w:type="paragraph" w:styleId="BalloonText">
    <w:name w:val="Balloon Text"/>
    <w:basedOn w:val="Normal"/>
    <w:link w:val="BalloonTextChar"/>
    <w:uiPriority w:val="99"/>
    <w:semiHidden/>
    <w:rsid w:val="00941747"/>
    <w:rPr>
      <w:rFonts w:ascii="Tahoma" w:hAnsi="Tahoma" w:cs="Tahoma"/>
      <w:sz w:val="16"/>
      <w:szCs w:val="16"/>
      <w:lang w:val="pl-PL" w:eastAsia="pl-PL"/>
    </w:rPr>
  </w:style>
  <w:style w:type="character" w:customStyle="1" w:styleId="BalloonTextChar">
    <w:name w:val="Balloon Text Char"/>
    <w:basedOn w:val="DefaultParagraphFont"/>
    <w:link w:val="BalloonText"/>
    <w:uiPriority w:val="99"/>
    <w:semiHidden/>
    <w:locked/>
    <w:rsid w:val="00A671F8"/>
    <w:rPr>
      <w:rFonts w:ascii="Tahoma" w:hAnsi="Tahoma" w:cs="Tahoma"/>
      <w:sz w:val="16"/>
      <w:szCs w:val="16"/>
    </w:rPr>
  </w:style>
  <w:style w:type="character" w:styleId="BookTitle">
    <w:name w:val="Book Title"/>
    <w:basedOn w:val="DefaultParagraphFont"/>
    <w:uiPriority w:val="99"/>
    <w:qFormat/>
    <w:rsid w:val="001B4C2E"/>
    <w:rPr>
      <w:i/>
      <w:iCs/>
      <w:smallCaps/>
      <w:spacing w:val="5"/>
    </w:rPr>
  </w:style>
  <w:style w:type="paragraph" w:customStyle="1" w:styleId="ECHRHeader">
    <w:name w:val="ECHR_Header"/>
    <w:aliases w:val="Ju_Header"/>
    <w:basedOn w:val="Header"/>
    <w:uiPriority w:val="99"/>
    <w:rsid w:val="001B4C2E"/>
    <w:pPr>
      <w:tabs>
        <w:tab w:val="clear" w:pos="4536"/>
        <w:tab w:val="clear" w:pos="9696"/>
        <w:tab w:val="center" w:pos="3686"/>
        <w:tab w:val="right" w:pos="7371"/>
      </w:tabs>
      <w:ind w:left="0" w:right="0"/>
      <w:jc w:val="left"/>
    </w:pPr>
    <w:rPr>
      <w:sz w:val="18"/>
      <w:szCs w:val="18"/>
    </w:rPr>
  </w:style>
  <w:style w:type="paragraph" w:customStyle="1" w:styleId="OpiPara">
    <w:name w:val="Opi_Para"/>
    <w:basedOn w:val="ECHRPara"/>
    <w:uiPriority w:val="99"/>
    <w:rsid w:val="001B4C2E"/>
  </w:style>
  <w:style w:type="character" w:styleId="Strong">
    <w:name w:val="Strong"/>
    <w:basedOn w:val="DefaultParagraphFont"/>
    <w:uiPriority w:val="99"/>
    <w:qFormat/>
    <w:rsid w:val="001B4C2E"/>
    <w:rPr>
      <w:b/>
      <w:bCs/>
    </w:rPr>
  </w:style>
  <w:style w:type="paragraph" w:styleId="NoSpacing">
    <w:name w:val="No Spacing"/>
    <w:basedOn w:val="Normal"/>
    <w:link w:val="NoSpacingChar"/>
    <w:uiPriority w:val="99"/>
    <w:qFormat/>
    <w:rsid w:val="001B4C2E"/>
    <w:rPr>
      <w:sz w:val="20"/>
      <w:szCs w:val="20"/>
      <w:lang w:val="pl-PL" w:eastAsia="pl-PL"/>
    </w:rPr>
  </w:style>
  <w:style w:type="character" w:customStyle="1" w:styleId="NoSpacingChar">
    <w:name w:val="No Spacing Char"/>
    <w:link w:val="NoSpacing"/>
    <w:uiPriority w:val="99"/>
    <w:semiHidden/>
    <w:locked/>
    <w:rsid w:val="001B4C2E"/>
    <w:rPr>
      <w:rFonts w:eastAsia="Times New Roman"/>
    </w:rPr>
  </w:style>
  <w:style w:type="paragraph" w:customStyle="1" w:styleId="JuParaSub">
    <w:name w:val="Ju_Para_Sub"/>
    <w:basedOn w:val="ECHRPara"/>
    <w:uiPriority w:val="99"/>
    <w:rsid w:val="001B4C2E"/>
    <w:pPr>
      <w:ind w:left="284"/>
    </w:pPr>
  </w:style>
  <w:style w:type="paragraph" w:customStyle="1" w:styleId="OpiParaSub">
    <w:name w:val="Opi_Para_Sub"/>
    <w:basedOn w:val="JuParaSub"/>
    <w:uiPriority w:val="99"/>
    <w:rsid w:val="001B4C2E"/>
  </w:style>
  <w:style w:type="paragraph" w:customStyle="1" w:styleId="OpiQuot">
    <w:name w:val="Opi_Quot"/>
    <w:basedOn w:val="ECHRParaQuote"/>
    <w:uiPriority w:val="99"/>
    <w:rsid w:val="001B4C2E"/>
  </w:style>
  <w:style w:type="paragraph" w:customStyle="1" w:styleId="OpiQuotSub">
    <w:name w:val="Opi_Quot_Sub"/>
    <w:basedOn w:val="JuQuotSub"/>
    <w:uiPriority w:val="99"/>
    <w:rsid w:val="001B4C2E"/>
  </w:style>
  <w:style w:type="paragraph" w:customStyle="1" w:styleId="ECHRTitleCentre3">
    <w:name w:val="ECHR_Title_Centre_3"/>
    <w:aliases w:val="Ju_H_Article"/>
    <w:basedOn w:val="Normal"/>
    <w:next w:val="ECHRParaQuote"/>
    <w:uiPriority w:val="99"/>
    <w:rsid w:val="00E44870"/>
    <w:pPr>
      <w:keepNext/>
      <w:keepLines/>
      <w:spacing w:before="240" w:after="120"/>
      <w:jc w:val="center"/>
      <w:outlineLvl w:val="3"/>
    </w:pPr>
    <w:rPr>
      <w:b/>
      <w:bCs/>
      <w:sz w:val="20"/>
      <w:szCs w:val="20"/>
    </w:rPr>
  </w:style>
  <w:style w:type="paragraph" w:customStyle="1" w:styleId="ECHRTitleCentre1">
    <w:name w:val="ECHR_Title_Centre_1"/>
    <w:aliases w:val="Opi_H_Head"/>
    <w:basedOn w:val="Normal"/>
    <w:next w:val="OpiPara"/>
    <w:uiPriority w:val="99"/>
    <w:rsid w:val="001B4C2E"/>
    <w:pPr>
      <w:keepNext/>
      <w:keepLines/>
      <w:spacing w:after="240"/>
      <w:jc w:val="center"/>
      <w:outlineLvl w:val="0"/>
    </w:pPr>
    <w:rPr>
      <w:sz w:val="28"/>
      <w:szCs w:val="28"/>
    </w:rPr>
  </w:style>
  <w:style w:type="paragraph" w:customStyle="1" w:styleId="JuQuotSub">
    <w:name w:val="Ju_Quot_Sub"/>
    <w:basedOn w:val="ECHRParaQuote"/>
    <w:uiPriority w:val="99"/>
    <w:rsid w:val="001B4C2E"/>
    <w:pPr>
      <w:ind w:left="567"/>
    </w:pPr>
  </w:style>
  <w:style w:type="paragraph" w:customStyle="1" w:styleId="JuInitialled">
    <w:name w:val="Ju_Initialled"/>
    <w:basedOn w:val="Normal"/>
    <w:uiPriority w:val="99"/>
    <w:rsid w:val="001B4C2E"/>
    <w:pPr>
      <w:tabs>
        <w:tab w:val="center" w:pos="6407"/>
      </w:tabs>
      <w:spacing w:before="720"/>
      <w:jc w:val="right"/>
    </w:pPr>
  </w:style>
  <w:style w:type="paragraph" w:customStyle="1" w:styleId="OpiHA">
    <w:name w:val="Opi_H_A"/>
    <w:basedOn w:val="ECHRHeading1"/>
    <w:next w:val="OpiPara"/>
    <w:uiPriority w:val="99"/>
    <w:rsid w:val="001B4C2E"/>
    <w:pPr>
      <w:tabs>
        <w:tab w:val="clear" w:pos="357"/>
      </w:tabs>
      <w:outlineLvl w:val="1"/>
    </w:pPr>
    <w:rPr>
      <w:b/>
      <w:bCs/>
    </w:rPr>
  </w:style>
  <w:style w:type="character" w:customStyle="1" w:styleId="JUNAMES">
    <w:name w:val="JU_NAMES"/>
    <w:uiPriority w:val="99"/>
    <w:rsid w:val="001B4C2E"/>
    <w:rPr>
      <w:smallCaps/>
    </w:rPr>
  </w:style>
  <w:style w:type="paragraph" w:customStyle="1" w:styleId="OpiTranslation">
    <w:name w:val="Opi_Translation"/>
    <w:basedOn w:val="Normal"/>
    <w:next w:val="OpiPara"/>
    <w:uiPriority w:val="99"/>
    <w:rsid w:val="001B4C2E"/>
    <w:pPr>
      <w:jc w:val="center"/>
      <w:outlineLvl w:val="0"/>
    </w:pPr>
    <w:rPr>
      <w:i/>
      <w:iCs/>
    </w:rPr>
  </w:style>
  <w:style w:type="paragraph" w:styleId="Title">
    <w:name w:val="Title"/>
    <w:basedOn w:val="Normal"/>
    <w:next w:val="Normal"/>
    <w:link w:val="TitleChar"/>
    <w:uiPriority w:val="99"/>
    <w:qFormat/>
    <w:rsid w:val="001B4C2E"/>
    <w:pPr>
      <w:pBdr>
        <w:bottom w:val="single" w:sz="4" w:space="1" w:color="auto"/>
      </w:pBdr>
    </w:pPr>
    <w:rPr>
      <w:spacing w:val="5"/>
      <w:sz w:val="52"/>
      <w:szCs w:val="52"/>
      <w:lang w:val="pl-PL" w:eastAsia="pl-PL"/>
    </w:rPr>
  </w:style>
  <w:style w:type="character" w:customStyle="1" w:styleId="TitleChar">
    <w:name w:val="Title Char"/>
    <w:basedOn w:val="DefaultParagraphFont"/>
    <w:link w:val="Title"/>
    <w:uiPriority w:val="99"/>
    <w:semiHidden/>
    <w:locked/>
    <w:rsid w:val="001B4C2E"/>
    <w:rPr>
      <w:rFonts w:ascii="Times New Roman" w:hAnsi="Times New Roman" w:cs="Times New Roman"/>
      <w:spacing w:val="5"/>
      <w:sz w:val="52"/>
      <w:szCs w:val="52"/>
    </w:rPr>
  </w:style>
  <w:style w:type="paragraph" w:customStyle="1" w:styleId="ECHRHeading3">
    <w:name w:val="ECHR_Heading_3"/>
    <w:aliases w:val="Ju_H_1."/>
    <w:basedOn w:val="Heading3"/>
    <w:next w:val="ECHRPara"/>
    <w:uiPriority w:val="99"/>
    <w:rsid w:val="001B4C2E"/>
    <w:pPr>
      <w:keepNext/>
      <w:keepLines/>
      <w:numPr>
        <w:ilvl w:val="0"/>
        <w:numId w:val="0"/>
      </w:numPr>
      <w:tabs>
        <w:tab w:val="left" w:pos="731"/>
      </w:tabs>
      <w:spacing w:before="240" w:after="120" w:line="240" w:lineRule="auto"/>
      <w:ind w:left="732" w:hanging="301"/>
      <w:jc w:val="both"/>
    </w:pPr>
    <w:rPr>
      <w:b w:val="0"/>
      <w:bCs w:val="0"/>
      <w:i/>
      <w:iCs/>
      <w:color w:val="auto"/>
    </w:rPr>
  </w:style>
  <w:style w:type="paragraph" w:customStyle="1" w:styleId="ECHRHeading4">
    <w:name w:val="ECHR_Heading_4"/>
    <w:aliases w:val="Ju_H_a"/>
    <w:basedOn w:val="Heading4"/>
    <w:next w:val="ECHRPara"/>
    <w:uiPriority w:val="99"/>
    <w:rsid w:val="001B4C2E"/>
    <w:pPr>
      <w:keepNext/>
      <w:keepLines/>
      <w:numPr>
        <w:ilvl w:val="0"/>
        <w:numId w:val="0"/>
      </w:numPr>
      <w:tabs>
        <w:tab w:val="left" w:pos="975"/>
      </w:tabs>
      <w:spacing w:before="240" w:after="120"/>
      <w:ind w:left="975" w:hanging="340"/>
      <w:jc w:val="both"/>
    </w:pPr>
    <w:rPr>
      <w:i w:val="0"/>
      <w:iCs w:val="0"/>
      <w:color w:val="auto"/>
      <w:sz w:val="20"/>
      <w:szCs w:val="20"/>
    </w:rPr>
  </w:style>
  <w:style w:type="paragraph" w:customStyle="1" w:styleId="ECHRHeading5">
    <w:name w:val="ECHR_Heading_5"/>
    <w:aliases w:val="Ju_H_i"/>
    <w:basedOn w:val="Heading5"/>
    <w:next w:val="ECHRPara"/>
    <w:uiPriority w:val="99"/>
    <w:rsid w:val="001B4C2E"/>
    <w:pPr>
      <w:keepNext/>
      <w:keepLines/>
      <w:tabs>
        <w:tab w:val="left" w:pos="1191"/>
      </w:tabs>
      <w:spacing w:before="240" w:after="120"/>
      <w:ind w:left="1190" w:hanging="357"/>
    </w:pPr>
    <w:rPr>
      <w:b w:val="0"/>
      <w:bCs w:val="0"/>
      <w:i/>
      <w:iCs/>
      <w:color w:val="auto"/>
    </w:rPr>
  </w:style>
  <w:style w:type="paragraph" w:customStyle="1" w:styleId="ECHRHeading6">
    <w:name w:val="ECHR_Heading_6"/>
    <w:aliases w:val="Ju_H_alpha"/>
    <w:basedOn w:val="Heading6"/>
    <w:next w:val="ECHRPara"/>
    <w:uiPriority w:val="99"/>
    <w:rsid w:val="001B4C2E"/>
    <w:pPr>
      <w:keepNext/>
      <w:keepLines/>
      <w:numPr>
        <w:ilvl w:val="0"/>
        <w:numId w:val="0"/>
      </w:numPr>
      <w:tabs>
        <w:tab w:val="left" w:pos="1372"/>
      </w:tabs>
      <w:spacing w:before="240" w:after="120" w:line="240" w:lineRule="auto"/>
      <w:ind w:left="1373" w:hanging="335"/>
      <w:jc w:val="both"/>
    </w:pPr>
    <w:rPr>
      <w:b w:val="0"/>
      <w:bCs w:val="0"/>
      <w:color w:val="auto"/>
      <w:sz w:val="20"/>
      <w:szCs w:val="20"/>
    </w:rPr>
  </w:style>
  <w:style w:type="paragraph" w:customStyle="1" w:styleId="ECHRHeading7">
    <w:name w:val="ECHR_Heading_7"/>
    <w:aliases w:val="Ju_H_–"/>
    <w:basedOn w:val="Heading7"/>
    <w:next w:val="ECHRPara"/>
    <w:uiPriority w:val="99"/>
    <w:rsid w:val="001B4C2E"/>
    <w:pPr>
      <w:keepNext/>
      <w:keepLines/>
      <w:spacing w:before="240" w:after="120"/>
      <w:ind w:left="1236"/>
    </w:pPr>
  </w:style>
  <w:style w:type="paragraph" w:customStyle="1" w:styleId="OpiH1">
    <w:name w:val="Opi_H_1"/>
    <w:basedOn w:val="ECHRHeading2"/>
    <w:uiPriority w:val="99"/>
    <w:rsid w:val="001B4C2E"/>
    <w:pPr>
      <w:ind w:left="635" w:hanging="357"/>
      <w:outlineLvl w:val="2"/>
    </w:pPr>
  </w:style>
  <w:style w:type="paragraph" w:customStyle="1" w:styleId="OpiHa0">
    <w:name w:val="Opi_H_a"/>
    <w:basedOn w:val="ECHRHeading3"/>
    <w:uiPriority w:val="99"/>
    <w:rsid w:val="001B4C2E"/>
    <w:pPr>
      <w:ind w:left="833" w:hanging="357"/>
      <w:outlineLvl w:val="3"/>
    </w:pPr>
    <w:rPr>
      <w:b/>
      <w:bCs/>
      <w:i w:val="0"/>
      <w:iCs w:val="0"/>
      <w:sz w:val="20"/>
      <w:szCs w:val="20"/>
    </w:rPr>
  </w:style>
  <w:style w:type="paragraph" w:customStyle="1" w:styleId="OpiHi">
    <w:name w:val="Opi_H_i"/>
    <w:basedOn w:val="ECHRHeading4"/>
    <w:uiPriority w:val="99"/>
    <w:rsid w:val="001B4C2E"/>
    <w:pPr>
      <w:ind w:left="1037" w:hanging="357"/>
      <w:outlineLvl w:val="4"/>
    </w:pPr>
    <w:rPr>
      <w:b w:val="0"/>
      <w:bCs w:val="0"/>
      <w:i/>
      <w:iCs/>
    </w:rPr>
  </w:style>
  <w:style w:type="paragraph" w:styleId="Header">
    <w:name w:val="header"/>
    <w:basedOn w:val="Normal"/>
    <w:link w:val="HeaderChar"/>
    <w:uiPriority w:val="99"/>
    <w:rsid w:val="00941747"/>
    <w:pPr>
      <w:tabs>
        <w:tab w:val="center" w:pos="4536"/>
        <w:tab w:val="right" w:pos="9696"/>
      </w:tabs>
      <w:ind w:left="-680" w:right="-680"/>
    </w:pPr>
  </w:style>
  <w:style w:type="character" w:customStyle="1" w:styleId="HeaderChar">
    <w:name w:val="Header Char"/>
    <w:basedOn w:val="DefaultParagraphFont"/>
    <w:link w:val="Header"/>
    <w:uiPriority w:val="99"/>
    <w:locked/>
    <w:rsid w:val="008D4752"/>
  </w:style>
  <w:style w:type="paragraph" w:customStyle="1" w:styleId="ECHRHeading1">
    <w:name w:val="ECHR_Heading_1"/>
    <w:aliases w:val="Ju_H_I_Roman"/>
    <w:basedOn w:val="Heading1"/>
    <w:next w:val="ECHRPara"/>
    <w:uiPriority w:val="99"/>
    <w:rsid w:val="001B4C2E"/>
    <w:pPr>
      <w:keepNext/>
      <w:keepLines/>
      <w:numPr>
        <w:numId w:val="0"/>
      </w:numPr>
      <w:tabs>
        <w:tab w:val="left" w:pos="357"/>
      </w:tabs>
      <w:spacing w:before="360" w:after="240"/>
      <w:ind w:left="357" w:hanging="357"/>
      <w:jc w:val="both"/>
    </w:pPr>
    <w:rPr>
      <w:b w:val="0"/>
      <w:bCs w:val="0"/>
      <w:color w:val="auto"/>
      <w:sz w:val="24"/>
      <w:szCs w:val="24"/>
    </w:rPr>
  </w:style>
  <w:style w:type="paragraph" w:customStyle="1" w:styleId="ECHRHeading2">
    <w:name w:val="ECHR_Heading_2"/>
    <w:aliases w:val="Ju_H_A"/>
    <w:basedOn w:val="Heading2"/>
    <w:next w:val="ECHRPara"/>
    <w:uiPriority w:val="99"/>
    <w:rsid w:val="001B4C2E"/>
    <w:pPr>
      <w:keepNext/>
      <w:keepLines/>
      <w:numPr>
        <w:ilvl w:val="0"/>
        <w:numId w:val="0"/>
      </w:numPr>
      <w:tabs>
        <w:tab w:val="left" w:pos="584"/>
      </w:tabs>
      <w:spacing w:before="360" w:after="240"/>
      <w:ind w:left="584" w:hanging="352"/>
      <w:jc w:val="both"/>
    </w:pPr>
    <w:rPr>
      <w:color w:val="auto"/>
      <w:sz w:val="24"/>
      <w:szCs w:val="24"/>
    </w:rPr>
  </w:style>
  <w:style w:type="paragraph" w:customStyle="1" w:styleId="DummyStyle">
    <w:name w:val="Dummy_Style"/>
    <w:basedOn w:val="Normal"/>
    <w:uiPriority w:val="99"/>
    <w:semiHidden/>
    <w:rsid w:val="001B4C2E"/>
    <w:rPr>
      <w:color w:val="00B050"/>
    </w:rPr>
  </w:style>
  <w:style w:type="paragraph" w:customStyle="1" w:styleId="JuCase">
    <w:name w:val="Ju_Case"/>
    <w:basedOn w:val="Normal"/>
    <w:next w:val="Normal"/>
    <w:uiPriority w:val="99"/>
    <w:rsid w:val="00D60D87"/>
    <w:pPr>
      <w:ind w:firstLine="284"/>
    </w:pPr>
    <w:rPr>
      <w:b/>
      <w:bCs/>
    </w:rPr>
  </w:style>
  <w:style w:type="character" w:styleId="SubtleEmphasis">
    <w:name w:val="Subtle Emphasis"/>
    <w:basedOn w:val="DefaultParagraphFont"/>
    <w:uiPriority w:val="99"/>
    <w:qFormat/>
    <w:rsid w:val="001B4C2E"/>
    <w:rPr>
      <w:i/>
      <w:iCs/>
    </w:rPr>
  </w:style>
  <w:style w:type="table" w:customStyle="1" w:styleId="ECHRTable">
    <w:name w:val="ECHR_Table"/>
    <w:uiPriority w:val="99"/>
    <w:rsid w:val="00860B03"/>
    <w:rPr>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sz w:val="20"/>
      <w:szCs w:val="20"/>
      <w:lang w:val="en-GB"/>
    </w:rPr>
    <w:tblPr>
      <w:tblCellMar>
        <w:top w:w="57" w:type="dxa"/>
        <w:left w:w="57" w:type="dxa"/>
        <w:bottom w:w="57" w:type="dxa"/>
        <w:right w:w="57" w:type="dxa"/>
      </w:tblCellMar>
    </w:tblPr>
    <w:tcPr>
      <w:shd w:val="clear" w:color="auto" w:fill="F8F8F8"/>
    </w:tcPr>
  </w:style>
  <w:style w:type="paragraph" w:customStyle="1" w:styleId="ECHRTitle1">
    <w:name w:val="ECHR_Title_1"/>
    <w:aliases w:val="Ju_H_Head"/>
    <w:basedOn w:val="Normal"/>
    <w:next w:val="ECHRPara"/>
    <w:uiPriority w:val="99"/>
    <w:rsid w:val="001B4C2E"/>
    <w:pPr>
      <w:keepNext/>
      <w:keepLines/>
      <w:spacing w:before="720" w:after="240"/>
      <w:outlineLvl w:val="0"/>
    </w:pPr>
    <w:rPr>
      <w:sz w:val="28"/>
      <w:szCs w:val="28"/>
    </w:rPr>
  </w:style>
  <w:style w:type="character" w:styleId="Emphasis">
    <w:name w:val="Emphasis"/>
    <w:basedOn w:val="DefaultParagraphFont"/>
    <w:uiPriority w:val="99"/>
    <w:qFormat/>
    <w:rsid w:val="001B4C2E"/>
    <w:rPr>
      <w:b/>
      <w:bCs/>
      <w:i/>
      <w:iCs/>
      <w:spacing w:val="10"/>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99"/>
    <w:semiHidden/>
    <w:locked/>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lang w:val="pl-PL" w:eastAsia="pl-PL"/>
    </w:rPr>
  </w:style>
  <w:style w:type="character" w:customStyle="1" w:styleId="FootnoteTextChar">
    <w:name w:val="Footnote Text Char"/>
    <w:basedOn w:val="DefaultParagraphFont"/>
    <w:link w:val="FootnoteText"/>
    <w:uiPriority w:val="99"/>
    <w:semiHidden/>
    <w:locked/>
    <w:rsid w:val="00A671F8"/>
    <w:rPr>
      <w:rFonts w:eastAsia="Times New Roman"/>
      <w:sz w:val="20"/>
      <w:szCs w:val="20"/>
    </w:rPr>
  </w:style>
  <w:style w:type="character" w:styleId="Hyperlink">
    <w:name w:val="Hyperlink"/>
    <w:basedOn w:val="DefaultParagraphFont"/>
    <w:uiPriority w:val="99"/>
    <w:semiHidden/>
    <w:rsid w:val="00941747"/>
    <w:rPr>
      <w:color w:val="0072BC"/>
      <w:u w:val="single"/>
    </w:rPr>
  </w:style>
  <w:style w:type="character" w:styleId="IntenseEmphasis">
    <w:name w:val="Intense Emphasis"/>
    <w:basedOn w:val="DefaultParagraphFont"/>
    <w:uiPriority w:val="99"/>
    <w:qFormat/>
    <w:rsid w:val="001B4C2E"/>
    <w:rPr>
      <w:b/>
      <w:bCs/>
    </w:rPr>
  </w:style>
  <w:style w:type="paragraph" w:styleId="IntenseQuote">
    <w:name w:val="Intense Quote"/>
    <w:basedOn w:val="Normal"/>
    <w:next w:val="Normal"/>
    <w:link w:val="IntenseQuoteChar"/>
    <w:uiPriority w:val="99"/>
    <w:qFormat/>
    <w:rsid w:val="001B4C2E"/>
    <w:pPr>
      <w:pBdr>
        <w:bottom w:val="single" w:sz="4" w:space="1" w:color="auto"/>
      </w:pBdr>
      <w:spacing w:before="200" w:after="280"/>
      <w:ind w:left="1008" w:right="1152"/>
    </w:pPr>
    <w:rPr>
      <w:b/>
      <w:bCs/>
      <w:i/>
      <w:iCs/>
      <w:sz w:val="20"/>
      <w:szCs w:val="20"/>
      <w:lang w:val="pl-PL" w:eastAsia="pl-PL"/>
    </w:rPr>
  </w:style>
  <w:style w:type="character" w:customStyle="1" w:styleId="IntenseQuoteChar">
    <w:name w:val="Intense Quote Char"/>
    <w:basedOn w:val="DefaultParagraphFont"/>
    <w:link w:val="IntenseQuote"/>
    <w:uiPriority w:val="99"/>
    <w:semiHidden/>
    <w:locked/>
    <w:rsid w:val="001B4C2E"/>
    <w:rPr>
      <w:rFonts w:eastAsia="Times New Roman"/>
      <w:b/>
      <w:bCs/>
      <w:i/>
      <w:iCs/>
    </w:rPr>
  </w:style>
  <w:style w:type="character" w:styleId="IntenseReference">
    <w:name w:val="Intense Reference"/>
    <w:basedOn w:val="DefaultParagraphFont"/>
    <w:uiPriority w:val="99"/>
    <w:qFormat/>
    <w:rsid w:val="001B4C2E"/>
    <w:rPr>
      <w:smallCaps/>
      <w:spacing w:val="5"/>
      <w:u w:val="single"/>
    </w:rPr>
  </w:style>
  <w:style w:type="paragraph" w:styleId="ListParagraph">
    <w:name w:val="List Paragraph"/>
    <w:basedOn w:val="Normal"/>
    <w:uiPriority w:val="99"/>
    <w:qFormat/>
    <w:rsid w:val="001B4C2E"/>
    <w:pPr>
      <w:ind w:left="720"/>
    </w:pPr>
  </w:style>
  <w:style w:type="table" w:customStyle="1" w:styleId="LtrTableAddress">
    <w:name w:val="Ltr_Table_Address"/>
    <w:uiPriority w:val="99"/>
    <w:rsid w:val="001E6F32"/>
    <w:rPr>
      <w:sz w:val="20"/>
      <w:szCs w:val="20"/>
    </w:rPr>
    <w:tblPr>
      <w:tblCellMar>
        <w:top w:w="0" w:type="dxa"/>
        <w:left w:w="108" w:type="dxa"/>
        <w:bottom w:w="0" w:type="dxa"/>
        <w:right w:w="108" w:type="dxa"/>
      </w:tblCellMar>
    </w:tblPr>
  </w:style>
  <w:style w:type="paragraph" w:styleId="Quote">
    <w:name w:val="Quote"/>
    <w:basedOn w:val="Normal"/>
    <w:next w:val="Normal"/>
    <w:link w:val="QuoteChar"/>
    <w:uiPriority w:val="99"/>
    <w:qFormat/>
    <w:rsid w:val="001B4C2E"/>
    <w:pPr>
      <w:spacing w:before="200"/>
      <w:ind w:left="360" w:right="360"/>
    </w:pPr>
    <w:rPr>
      <w:i/>
      <w:iCs/>
      <w:sz w:val="20"/>
      <w:szCs w:val="20"/>
      <w:lang w:val="pl-PL" w:eastAsia="pl-PL"/>
    </w:rPr>
  </w:style>
  <w:style w:type="character" w:customStyle="1" w:styleId="QuoteChar">
    <w:name w:val="Quote Char"/>
    <w:basedOn w:val="DefaultParagraphFont"/>
    <w:link w:val="Quote"/>
    <w:uiPriority w:val="99"/>
    <w:semiHidden/>
    <w:locked/>
    <w:rsid w:val="001B4C2E"/>
    <w:rPr>
      <w:rFonts w:eastAsia="Times New Roman"/>
      <w:i/>
      <w:iCs/>
    </w:rPr>
  </w:style>
  <w:style w:type="character" w:styleId="SubtleReference">
    <w:name w:val="Subtle Reference"/>
    <w:basedOn w:val="DefaultParagraphFont"/>
    <w:uiPriority w:val="99"/>
    <w:qFormat/>
    <w:rsid w:val="001B4C2E"/>
    <w:rPr>
      <w:smallCaps/>
    </w:rPr>
  </w:style>
  <w:style w:type="table" w:styleId="TableGrid">
    <w:name w:val="Table Grid"/>
    <w:basedOn w:val="TableNormal"/>
    <w:uiPriority w:val="99"/>
    <w:semiHidden/>
    <w:rsid w:val="00941747"/>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qFormat/>
    <w:rsid w:val="001B4C2E"/>
    <w:pPr>
      <w:numPr>
        <w:numId w:val="0"/>
      </w:numPr>
      <w:jc w:val="both"/>
      <w:outlineLvl w:val="9"/>
    </w:pPr>
    <w:rPr>
      <w:color w:val="474747"/>
    </w:rPr>
  </w:style>
  <w:style w:type="table" w:customStyle="1" w:styleId="UGTable">
    <w:name w:val="UG_Table"/>
    <w:uiPriority w:val="99"/>
    <w:rsid w:val="00801300"/>
    <w:rPr>
      <w:sz w:val="20"/>
      <w:szCs w:val="20"/>
      <w:lang w:val="en-GB" w:eastAsia="en-GB"/>
    </w:rPr>
    <w:tblPr>
      <w:tblCellMar>
        <w:top w:w="57" w:type="dxa"/>
        <w:left w:w="0" w:type="dxa"/>
        <w:bottom w:w="0" w:type="dxa"/>
        <w:right w:w="0" w:type="dxa"/>
      </w:tblCellMar>
    </w:tblPr>
  </w:style>
  <w:style w:type="table" w:customStyle="1" w:styleId="UGTableWhiteBox">
    <w:name w:val="UG_Table_White_Box"/>
    <w:uiPriority w:val="99"/>
    <w:rsid w:val="00801300"/>
    <w:rPr>
      <w:sz w:val="20"/>
      <w:szCs w:val="20"/>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TOAHeading">
    <w:name w:val="toa heading"/>
    <w:basedOn w:val="Normal"/>
    <w:next w:val="Normal"/>
    <w:uiPriority w:val="99"/>
    <w:semiHidden/>
    <w:rsid w:val="00C333A0"/>
    <w:pPr>
      <w:spacing w:before="120"/>
    </w:pPr>
    <w:rPr>
      <w:b/>
      <w:bCs/>
      <w:color w:val="474747"/>
    </w:rPr>
  </w:style>
  <w:style w:type="paragraph" w:customStyle="1" w:styleId="ECHRParaQuote">
    <w:name w:val="ECHR_Para_Quote"/>
    <w:aliases w:val="Ju_Quot"/>
    <w:basedOn w:val="Normal"/>
    <w:uiPriority w:val="99"/>
    <w:rsid w:val="00E44870"/>
    <w:pPr>
      <w:spacing w:before="120" w:after="120"/>
      <w:ind w:left="425" w:firstLine="142"/>
    </w:pPr>
    <w:rPr>
      <w:sz w:val="20"/>
      <w:szCs w:val="20"/>
    </w:rPr>
  </w:style>
  <w:style w:type="paragraph" w:customStyle="1" w:styleId="ECHRPara">
    <w:name w:val="ECHR_Para"/>
    <w:aliases w:val="Ju_Para,Left,First line:  0 cm"/>
    <w:basedOn w:val="Normal"/>
    <w:link w:val="JuParaCar"/>
    <w:uiPriority w:val="99"/>
    <w:rsid w:val="00E44870"/>
    <w:pPr>
      <w:ind w:firstLine="284"/>
    </w:pPr>
    <w:rPr>
      <w:lang w:val="pl-PL" w:eastAsia="pl-PL"/>
    </w:rPr>
  </w:style>
  <w:style w:type="table" w:customStyle="1" w:styleId="ECHRTableSimpleBox">
    <w:name w:val="ECHR_Table_Simple_Box"/>
    <w:uiPriority w:val="99"/>
    <w:rsid w:val="00AE354C"/>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520BAA"/>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rPr>
      <w:sz w:val="20"/>
      <w:szCs w:val="20"/>
    </w:rPr>
    <w:tblPr>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ECHRDecisionBody">
    <w:name w:val="ECHR_Decision_Body"/>
    <w:aliases w:val="Ju_Judges"/>
    <w:basedOn w:val="Normal"/>
    <w:uiPriority w:val="99"/>
    <w:rsid w:val="001B4C2E"/>
    <w:pPr>
      <w:tabs>
        <w:tab w:val="left" w:pos="567"/>
        <w:tab w:val="left" w:pos="1134"/>
      </w:tabs>
      <w:jc w:val="left"/>
    </w:pPr>
  </w:style>
  <w:style w:type="table" w:customStyle="1" w:styleId="ECHRHeaderTableReduced">
    <w:name w:val="ECHR_Header_Table_Reduced"/>
    <w:uiPriority w:val="99"/>
    <w:rsid w:val="00B52BE0"/>
    <w:rPr>
      <w:sz w:val="20"/>
      <w:szCs w:val="20"/>
    </w:rPr>
    <w:tblPr>
      <w:tblCellMar>
        <w:top w:w="0" w:type="dxa"/>
        <w:left w:w="0" w:type="dxa"/>
        <w:bottom w:w="0" w:type="dxa"/>
        <w:right w:w="0" w:type="dxa"/>
      </w:tblCellMar>
    </w:tblPr>
  </w:style>
  <w:style w:type="paragraph" w:customStyle="1" w:styleId="JuList">
    <w:name w:val="Ju_List"/>
    <w:basedOn w:val="Normal"/>
    <w:uiPriority w:val="99"/>
    <w:rsid w:val="001B4C2E"/>
    <w:pPr>
      <w:ind w:left="340" w:hanging="340"/>
    </w:pPr>
  </w:style>
  <w:style w:type="paragraph" w:customStyle="1" w:styleId="JuSigned">
    <w:name w:val="Ju_Signed"/>
    <w:basedOn w:val="Normal"/>
    <w:next w:val="JuParaLast"/>
    <w:uiPriority w:val="99"/>
    <w:rsid w:val="001B4C2E"/>
    <w:pPr>
      <w:tabs>
        <w:tab w:val="center" w:pos="851"/>
        <w:tab w:val="center" w:pos="6407"/>
      </w:tabs>
      <w:spacing w:before="720"/>
      <w:jc w:val="left"/>
    </w:pPr>
  </w:style>
  <w:style w:type="paragraph" w:customStyle="1" w:styleId="JuParaLast">
    <w:name w:val="Ju_Para_Last"/>
    <w:basedOn w:val="Normal"/>
    <w:next w:val="ECHRPara"/>
    <w:uiPriority w:val="99"/>
    <w:rsid w:val="001B4C2E"/>
    <w:pPr>
      <w:keepNext/>
      <w:keepLines/>
      <w:spacing w:before="240"/>
      <w:ind w:firstLine="284"/>
    </w:pPr>
  </w:style>
  <w:style w:type="paragraph" w:customStyle="1" w:styleId="JuCourt">
    <w:name w:val="Ju_Court"/>
    <w:basedOn w:val="Normal"/>
    <w:next w:val="Normal"/>
    <w:uiPriority w:val="99"/>
    <w:rsid w:val="001B4C2E"/>
    <w:pPr>
      <w:tabs>
        <w:tab w:val="left" w:pos="907"/>
        <w:tab w:val="left" w:pos="1701"/>
        <w:tab w:val="right" w:pos="7371"/>
      </w:tabs>
      <w:spacing w:before="240"/>
      <w:ind w:left="397" w:hanging="397"/>
      <w:jc w:val="left"/>
    </w:pPr>
  </w:style>
  <w:style w:type="character" w:styleId="PageNumber">
    <w:name w:val="page number"/>
    <w:basedOn w:val="DefaultParagraphFont"/>
    <w:uiPriority w:val="99"/>
    <w:semiHidden/>
    <w:rsid w:val="00014566"/>
    <w:rPr>
      <w:sz w:val="18"/>
      <w:szCs w:val="18"/>
    </w:rPr>
  </w:style>
  <w:style w:type="paragraph" w:customStyle="1" w:styleId="JuLista">
    <w:name w:val="Ju_List_a"/>
    <w:basedOn w:val="JuList"/>
    <w:uiPriority w:val="99"/>
    <w:rsid w:val="001B4C2E"/>
    <w:pPr>
      <w:ind w:left="346" w:firstLine="0"/>
    </w:pPr>
  </w:style>
  <w:style w:type="paragraph" w:customStyle="1" w:styleId="JuListi">
    <w:name w:val="Ju_List_i"/>
    <w:basedOn w:val="Normal"/>
    <w:next w:val="JuLista"/>
    <w:uiPriority w:val="99"/>
    <w:rsid w:val="001B4C2E"/>
    <w:pPr>
      <w:ind w:left="794"/>
    </w:pPr>
  </w:style>
  <w:style w:type="character" w:styleId="CommentReference">
    <w:name w:val="annotation reference"/>
    <w:basedOn w:val="DefaultParagraphFont"/>
    <w:uiPriority w:val="99"/>
    <w:semiHidden/>
    <w:rsid w:val="00014566"/>
    <w:rPr>
      <w:sz w:val="16"/>
      <w:szCs w:val="16"/>
    </w:rPr>
  </w:style>
  <w:style w:type="paragraph" w:styleId="CommentText">
    <w:name w:val="annotation text"/>
    <w:basedOn w:val="Normal"/>
    <w:link w:val="CommentTextChar"/>
    <w:uiPriority w:val="99"/>
    <w:semiHidden/>
    <w:rsid w:val="00014566"/>
    <w:rPr>
      <w:sz w:val="20"/>
      <w:szCs w:val="20"/>
      <w:lang w:val="pl-PL" w:eastAsia="pl-PL"/>
    </w:rPr>
  </w:style>
  <w:style w:type="character" w:customStyle="1" w:styleId="CommentTextChar">
    <w:name w:val="Comment Text Char"/>
    <w:basedOn w:val="DefaultParagraphFont"/>
    <w:link w:val="CommentText"/>
    <w:uiPriority w:val="99"/>
    <w:semiHidden/>
    <w:locked/>
    <w:rsid w:val="00014566"/>
    <w:rPr>
      <w:rFonts w:eastAsia="Times New Roman"/>
      <w:sz w:val="20"/>
      <w:szCs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locked/>
    <w:rsid w:val="00014566"/>
    <w:rPr>
      <w:b/>
      <w:bCs/>
    </w:rPr>
  </w:style>
  <w:style w:type="character" w:styleId="EndnoteReference">
    <w:name w:val="endnote reference"/>
    <w:basedOn w:val="DefaultParagraphFont"/>
    <w:uiPriority w:val="99"/>
    <w:semiHidden/>
    <w:rsid w:val="00014566"/>
    <w:rPr>
      <w:vertAlign w:val="superscript"/>
    </w:rPr>
  </w:style>
  <w:style w:type="paragraph" w:styleId="EndnoteText">
    <w:name w:val="endnote text"/>
    <w:basedOn w:val="Normal"/>
    <w:link w:val="EndnoteTextChar"/>
    <w:uiPriority w:val="99"/>
    <w:semiHidden/>
    <w:rsid w:val="00014566"/>
    <w:rPr>
      <w:sz w:val="20"/>
      <w:szCs w:val="20"/>
      <w:lang w:val="pl-PL" w:eastAsia="pl-PL"/>
    </w:rPr>
  </w:style>
  <w:style w:type="character" w:customStyle="1" w:styleId="EndnoteTextChar">
    <w:name w:val="Endnote Text Char"/>
    <w:basedOn w:val="DefaultParagraphFont"/>
    <w:link w:val="EndnoteText"/>
    <w:uiPriority w:val="99"/>
    <w:semiHidden/>
    <w:locked/>
    <w:rsid w:val="00014566"/>
    <w:rPr>
      <w:rFonts w:eastAsia="Times New Roman"/>
      <w:sz w:val="20"/>
      <w:szCs w:val="20"/>
    </w:rPr>
  </w:style>
  <w:style w:type="character" w:styleId="FollowedHyperlink">
    <w:name w:val="FollowedHyperlink"/>
    <w:basedOn w:val="DefaultParagraphFont"/>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szCs w:val="20"/>
      <w:lang w:val="pl-PL" w:eastAsia="pl-PL"/>
    </w:rPr>
  </w:style>
  <w:style w:type="character" w:customStyle="1" w:styleId="DocumentMapChar">
    <w:name w:val="Document Map Char"/>
    <w:basedOn w:val="DefaultParagraphFont"/>
    <w:link w:val="DocumentMap"/>
    <w:uiPriority w:val="99"/>
    <w:semiHidden/>
    <w:locked/>
    <w:rsid w:val="00014566"/>
    <w:rPr>
      <w:rFonts w:ascii="Tahoma" w:hAnsi="Tahoma" w:cs="Tahoma"/>
      <w:sz w:val="20"/>
      <w:szCs w:val="20"/>
      <w:shd w:val="clear" w:color="auto" w:fill="000080"/>
    </w:rPr>
  </w:style>
  <w:style w:type="character" w:customStyle="1" w:styleId="JuNames0">
    <w:name w:val="Ju_Names"/>
    <w:uiPriority w:val="99"/>
    <w:rsid w:val="00014566"/>
    <w:rPr>
      <w:smallCaps/>
    </w:rPr>
  </w:style>
  <w:style w:type="paragraph" w:styleId="ListBullet">
    <w:name w:val="List Bullet"/>
    <w:basedOn w:val="Normal"/>
    <w:uiPriority w:val="99"/>
    <w:semiHidden/>
    <w:rsid w:val="00014566"/>
    <w:pPr>
      <w:numPr>
        <w:numId w:val="40"/>
      </w:numPr>
    </w:pPr>
  </w:style>
  <w:style w:type="character" w:customStyle="1" w:styleId="JuITMark">
    <w:name w:val="Ju_ITMark"/>
    <w:uiPriority w:val="99"/>
    <w:rsid w:val="001B4C2E"/>
    <w:rPr>
      <w:color w:val="auto"/>
      <w:sz w:val="14"/>
      <w:szCs w:val="14"/>
    </w:rPr>
  </w:style>
  <w:style w:type="paragraph" w:styleId="Subtitle">
    <w:name w:val="Subtitle"/>
    <w:basedOn w:val="Normal"/>
    <w:next w:val="Normal"/>
    <w:link w:val="SubtitleChar"/>
    <w:uiPriority w:val="99"/>
    <w:qFormat/>
    <w:rsid w:val="001B4C2E"/>
    <w:pPr>
      <w:spacing w:after="600"/>
    </w:pPr>
    <w:rPr>
      <w:i/>
      <w:iCs/>
      <w:spacing w:val="13"/>
      <w:lang w:val="pl-PL" w:eastAsia="pl-PL"/>
    </w:rPr>
  </w:style>
  <w:style w:type="character" w:customStyle="1" w:styleId="SubtitleChar">
    <w:name w:val="Subtitle Char"/>
    <w:basedOn w:val="DefaultParagraphFont"/>
    <w:link w:val="Subtitle"/>
    <w:uiPriority w:val="99"/>
    <w:semiHidden/>
    <w:locked/>
    <w:rsid w:val="001B4C2E"/>
    <w:rPr>
      <w:rFonts w:ascii="Times New Roman" w:hAnsi="Times New Roman" w:cs="Times New Roman"/>
      <w:i/>
      <w:iCs/>
      <w:spacing w:val="13"/>
      <w:sz w:val="24"/>
      <w:szCs w:val="24"/>
    </w:rPr>
  </w:style>
  <w:style w:type="paragraph" w:styleId="Bibliography">
    <w:name w:val="Bibliography"/>
    <w:basedOn w:val="Normal"/>
    <w:next w:val="Normal"/>
    <w:uiPriority w:val="99"/>
    <w:semiHidden/>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rPr>
      <w:lang w:val="pl-PL" w:eastAsia="pl-PL"/>
    </w:rPr>
  </w:style>
  <w:style w:type="character" w:customStyle="1" w:styleId="BodyTextChar">
    <w:name w:val="Body Text Char"/>
    <w:basedOn w:val="DefaultParagraphFont"/>
    <w:link w:val="BodyText"/>
    <w:uiPriority w:val="99"/>
    <w:semiHidden/>
    <w:locked/>
    <w:rsid w:val="00014566"/>
    <w:rPr>
      <w:rFonts w:eastAsia="Times New Roman"/>
      <w:sz w:val="24"/>
      <w:szCs w:val="24"/>
    </w:rPr>
  </w:style>
  <w:style w:type="paragraph" w:styleId="BodyText2">
    <w:name w:val="Body Text 2"/>
    <w:basedOn w:val="Normal"/>
    <w:link w:val="BodyText2Char"/>
    <w:uiPriority w:val="99"/>
    <w:semiHidden/>
    <w:rsid w:val="00014566"/>
    <w:pPr>
      <w:spacing w:after="120" w:line="480" w:lineRule="auto"/>
    </w:pPr>
    <w:rPr>
      <w:lang w:val="pl-PL" w:eastAsia="pl-PL"/>
    </w:rPr>
  </w:style>
  <w:style w:type="character" w:customStyle="1" w:styleId="BodyText2Char">
    <w:name w:val="Body Text 2 Char"/>
    <w:basedOn w:val="DefaultParagraphFont"/>
    <w:link w:val="BodyText2"/>
    <w:uiPriority w:val="99"/>
    <w:semiHidden/>
    <w:locked/>
    <w:rsid w:val="00014566"/>
    <w:rPr>
      <w:rFonts w:eastAsia="Times New Roman"/>
      <w:sz w:val="24"/>
      <w:szCs w:val="24"/>
    </w:rPr>
  </w:style>
  <w:style w:type="paragraph" w:styleId="BodyText3">
    <w:name w:val="Body Text 3"/>
    <w:basedOn w:val="Normal"/>
    <w:link w:val="BodyText3Char"/>
    <w:uiPriority w:val="99"/>
    <w:semiHidden/>
    <w:rsid w:val="00014566"/>
    <w:pPr>
      <w:spacing w:after="120"/>
    </w:pPr>
    <w:rPr>
      <w:sz w:val="16"/>
      <w:szCs w:val="16"/>
      <w:lang w:val="pl-PL" w:eastAsia="pl-PL"/>
    </w:rPr>
  </w:style>
  <w:style w:type="character" w:customStyle="1" w:styleId="BodyText3Char">
    <w:name w:val="Body Text 3 Char"/>
    <w:basedOn w:val="DefaultParagraphFont"/>
    <w:link w:val="BodyText3"/>
    <w:uiPriority w:val="99"/>
    <w:semiHidden/>
    <w:locked/>
    <w:rsid w:val="00014566"/>
    <w:rPr>
      <w:rFonts w:eastAsia="Times New Roman"/>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locked/>
    <w:rsid w:val="00014566"/>
  </w:style>
  <w:style w:type="paragraph" w:styleId="BodyTextIndent">
    <w:name w:val="Body Text Indent"/>
    <w:basedOn w:val="Normal"/>
    <w:link w:val="BodyTextIndentChar"/>
    <w:uiPriority w:val="99"/>
    <w:semiHidden/>
    <w:rsid w:val="00014566"/>
    <w:pPr>
      <w:spacing w:after="120"/>
      <w:ind w:left="283"/>
    </w:pPr>
    <w:rPr>
      <w:lang w:val="pl-PL" w:eastAsia="pl-PL"/>
    </w:rPr>
  </w:style>
  <w:style w:type="character" w:customStyle="1" w:styleId="BodyTextIndentChar">
    <w:name w:val="Body Text Indent Char"/>
    <w:basedOn w:val="DefaultParagraphFont"/>
    <w:link w:val="BodyTextIndent"/>
    <w:uiPriority w:val="99"/>
    <w:semiHidden/>
    <w:locked/>
    <w:rsid w:val="00014566"/>
    <w:rPr>
      <w:rFonts w:eastAsia="Times New Roman"/>
      <w:sz w:val="24"/>
      <w:szCs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014566"/>
  </w:style>
  <w:style w:type="paragraph" w:styleId="BodyTextIndent2">
    <w:name w:val="Body Text Indent 2"/>
    <w:basedOn w:val="Normal"/>
    <w:link w:val="BodyTextIndent2Char"/>
    <w:uiPriority w:val="99"/>
    <w:semiHidden/>
    <w:rsid w:val="00014566"/>
    <w:pPr>
      <w:spacing w:after="120" w:line="480" w:lineRule="auto"/>
      <w:ind w:left="283"/>
    </w:pPr>
    <w:rPr>
      <w:lang w:val="pl-PL" w:eastAsia="pl-PL"/>
    </w:rPr>
  </w:style>
  <w:style w:type="character" w:customStyle="1" w:styleId="BodyTextIndent2Char">
    <w:name w:val="Body Text Indent 2 Char"/>
    <w:basedOn w:val="DefaultParagraphFont"/>
    <w:link w:val="BodyTextIndent2"/>
    <w:uiPriority w:val="99"/>
    <w:semiHidden/>
    <w:locked/>
    <w:rsid w:val="00014566"/>
    <w:rPr>
      <w:rFonts w:eastAsia="Times New Roman"/>
      <w:sz w:val="24"/>
      <w:szCs w:val="24"/>
    </w:rPr>
  </w:style>
  <w:style w:type="paragraph" w:styleId="BodyTextIndent3">
    <w:name w:val="Body Text Indent 3"/>
    <w:basedOn w:val="Normal"/>
    <w:link w:val="BodyTextIndent3Char"/>
    <w:uiPriority w:val="99"/>
    <w:semiHidden/>
    <w:rsid w:val="00014566"/>
    <w:pPr>
      <w:spacing w:after="120"/>
      <w:ind w:left="283"/>
    </w:pPr>
    <w:rPr>
      <w:sz w:val="16"/>
      <w:szCs w:val="16"/>
      <w:lang w:val="pl-PL" w:eastAsia="pl-PL"/>
    </w:rPr>
  </w:style>
  <w:style w:type="character" w:customStyle="1" w:styleId="BodyTextIndent3Char">
    <w:name w:val="Body Text Indent 3 Char"/>
    <w:basedOn w:val="DefaultParagraphFont"/>
    <w:link w:val="BodyTextIndent3"/>
    <w:uiPriority w:val="99"/>
    <w:semiHidden/>
    <w:locked/>
    <w:rsid w:val="00014566"/>
    <w:rPr>
      <w:rFonts w:eastAsia="Times New Roman"/>
      <w:sz w:val="16"/>
      <w:szCs w:val="16"/>
    </w:rPr>
  </w:style>
  <w:style w:type="paragraph" w:styleId="Caption">
    <w:name w:val="caption"/>
    <w:basedOn w:val="Normal"/>
    <w:next w:val="Normal"/>
    <w:uiPriority w:val="99"/>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rPr>
      <w:lang w:val="pl-PL" w:eastAsia="pl-PL"/>
    </w:rPr>
  </w:style>
  <w:style w:type="character" w:customStyle="1" w:styleId="ClosingChar">
    <w:name w:val="Closing Char"/>
    <w:basedOn w:val="DefaultParagraphFont"/>
    <w:link w:val="Closing"/>
    <w:uiPriority w:val="99"/>
    <w:semiHidden/>
    <w:locked/>
    <w:rsid w:val="00014566"/>
    <w:rPr>
      <w:rFonts w:eastAsia="Times New Roman"/>
      <w:sz w:val="24"/>
      <w:szCs w:val="24"/>
    </w:rPr>
  </w:style>
  <w:style w:type="table" w:styleId="ColorfulGrid">
    <w:name w:val="Colorful Grid"/>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sz w:val="20"/>
      <w:szCs w:val="2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sz w:val="20"/>
      <w:szCs w:val="2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sz w:val="20"/>
      <w:szCs w:val="2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sz w:val="20"/>
      <w:szCs w:val="2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sz w:val="20"/>
      <w:szCs w:val="2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rPr>
      <w:lang w:val="pl-PL" w:eastAsia="pl-PL"/>
    </w:rPr>
  </w:style>
  <w:style w:type="character" w:customStyle="1" w:styleId="DateChar">
    <w:name w:val="Date Char"/>
    <w:basedOn w:val="DefaultParagraphFont"/>
    <w:link w:val="Date"/>
    <w:uiPriority w:val="99"/>
    <w:semiHidden/>
    <w:locked/>
    <w:rsid w:val="00014566"/>
    <w:rPr>
      <w:rFonts w:eastAsia="Times New Roman"/>
      <w:sz w:val="24"/>
      <w:szCs w:val="24"/>
    </w:rPr>
  </w:style>
  <w:style w:type="paragraph" w:styleId="E-mailSignature">
    <w:name w:val="E-mail Signature"/>
    <w:basedOn w:val="Normal"/>
    <w:link w:val="E-mailSignatureChar"/>
    <w:uiPriority w:val="99"/>
    <w:semiHidden/>
    <w:rsid w:val="00014566"/>
    <w:rPr>
      <w:lang w:val="pl-PL" w:eastAsia="pl-PL"/>
    </w:rPr>
  </w:style>
  <w:style w:type="character" w:customStyle="1" w:styleId="E-mailSignatureChar">
    <w:name w:val="E-mail Signature Char"/>
    <w:basedOn w:val="DefaultParagraphFont"/>
    <w:link w:val="E-mailSignature"/>
    <w:uiPriority w:val="99"/>
    <w:semiHidden/>
    <w:locked/>
    <w:rsid w:val="00014566"/>
    <w:rPr>
      <w:rFonts w:eastAsia="Times New Roman"/>
      <w:sz w:val="24"/>
      <w:szCs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style>
  <w:style w:type="paragraph" w:styleId="EnvelopeReturn">
    <w:name w:val="envelope return"/>
    <w:basedOn w:val="Normal"/>
    <w:uiPriority w:val="99"/>
    <w:semiHidden/>
    <w:rsid w:val="00014566"/>
    <w:rPr>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lang w:val="pl-PL" w:eastAsia="pl-PL"/>
    </w:rPr>
  </w:style>
  <w:style w:type="character" w:customStyle="1" w:styleId="HTMLAddressChar">
    <w:name w:val="HTML Address Char"/>
    <w:basedOn w:val="DefaultParagraphFont"/>
    <w:link w:val="HTMLAddress"/>
    <w:uiPriority w:val="99"/>
    <w:semiHidden/>
    <w:locked/>
    <w:rsid w:val="00014566"/>
    <w:rPr>
      <w:rFonts w:eastAsia="Times New Roman"/>
      <w:i/>
      <w:iCs/>
      <w:sz w:val="24"/>
      <w:szCs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lang w:val="pl-PL" w:eastAsia="pl-PL"/>
    </w:rPr>
  </w:style>
  <w:style w:type="character" w:customStyle="1" w:styleId="HTMLPreformattedChar">
    <w:name w:val="HTML Preformatted Char"/>
    <w:basedOn w:val="DefaultParagraphFont"/>
    <w:link w:val="HTMLPreformatted"/>
    <w:uiPriority w:val="99"/>
    <w:semiHidden/>
    <w:locked/>
    <w:rsid w:val="00014566"/>
    <w:rPr>
      <w:rFonts w:ascii="Consolas"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b/>
      <w:bCs/>
    </w:rPr>
  </w:style>
  <w:style w:type="table" w:styleId="LightGrid">
    <w:name w:val="Light Grid"/>
    <w:basedOn w:val="TableNormal"/>
    <w:uiPriority w:val="99"/>
    <w:semiHidden/>
    <w:rsid w:val="00014566"/>
    <w:rPr>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sz w:val="20"/>
      <w:szCs w:val="20"/>
      <w:lang w:val="fr-FR" w:eastAsia="fr-F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sz w:val="20"/>
      <w:szCs w:val="20"/>
      <w:lang w:val="fr-FR" w:eastAsia="fr-FR"/>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sz w:val="20"/>
      <w:szCs w:val="20"/>
      <w:lang w:val="fr-FR" w:eastAsia="fr-FR"/>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sz w:val="20"/>
      <w:szCs w:val="20"/>
      <w:lang w:val="fr-FR" w:eastAsia="fr-FR"/>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sz w:val="20"/>
      <w:szCs w:val="20"/>
      <w:lang w:val="fr-FR" w:eastAsia="fr-FR"/>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pPr>
  </w:style>
  <w:style w:type="paragraph" w:styleId="List2">
    <w:name w:val="List 2"/>
    <w:basedOn w:val="Normal"/>
    <w:uiPriority w:val="99"/>
    <w:semiHidden/>
    <w:rsid w:val="00014566"/>
    <w:pPr>
      <w:ind w:left="566" w:hanging="283"/>
    </w:pPr>
  </w:style>
  <w:style w:type="paragraph" w:styleId="List3">
    <w:name w:val="List 3"/>
    <w:basedOn w:val="Normal"/>
    <w:uiPriority w:val="99"/>
    <w:semiHidden/>
    <w:rsid w:val="00014566"/>
    <w:pPr>
      <w:ind w:left="849" w:hanging="283"/>
    </w:pPr>
  </w:style>
  <w:style w:type="paragraph" w:styleId="List4">
    <w:name w:val="List 4"/>
    <w:basedOn w:val="Normal"/>
    <w:uiPriority w:val="99"/>
    <w:semiHidden/>
    <w:rsid w:val="00014566"/>
    <w:pPr>
      <w:ind w:left="1132" w:hanging="283"/>
    </w:pPr>
  </w:style>
  <w:style w:type="paragraph" w:styleId="List5">
    <w:name w:val="List 5"/>
    <w:basedOn w:val="Normal"/>
    <w:uiPriority w:val="99"/>
    <w:semiHidden/>
    <w:rsid w:val="00014566"/>
    <w:pPr>
      <w:ind w:left="1415" w:hanging="283"/>
    </w:pPr>
  </w:style>
  <w:style w:type="paragraph" w:styleId="ListBullet2">
    <w:name w:val="List Bullet 2"/>
    <w:basedOn w:val="Normal"/>
    <w:uiPriority w:val="99"/>
    <w:semiHidden/>
    <w:rsid w:val="00014566"/>
    <w:pPr>
      <w:numPr>
        <w:numId w:val="21"/>
      </w:numPr>
      <w:tabs>
        <w:tab w:val="clear" w:pos="360"/>
        <w:tab w:val="num" w:pos="643"/>
      </w:tabs>
      <w:ind w:left="643"/>
    </w:pPr>
  </w:style>
  <w:style w:type="paragraph" w:styleId="ListBullet3">
    <w:name w:val="List Bullet 3"/>
    <w:basedOn w:val="Normal"/>
    <w:uiPriority w:val="99"/>
    <w:semiHidden/>
    <w:rsid w:val="00014566"/>
    <w:pPr>
      <w:numPr>
        <w:numId w:val="22"/>
      </w:numPr>
      <w:tabs>
        <w:tab w:val="clear" w:pos="643"/>
        <w:tab w:val="num" w:pos="926"/>
      </w:tabs>
      <w:ind w:left="926"/>
    </w:pPr>
  </w:style>
  <w:style w:type="paragraph" w:styleId="ListBullet4">
    <w:name w:val="List Bullet 4"/>
    <w:basedOn w:val="Normal"/>
    <w:uiPriority w:val="99"/>
    <w:semiHidden/>
    <w:rsid w:val="00014566"/>
    <w:pPr>
      <w:numPr>
        <w:numId w:val="23"/>
      </w:numPr>
      <w:tabs>
        <w:tab w:val="clear" w:pos="926"/>
        <w:tab w:val="num" w:pos="1209"/>
      </w:tabs>
      <w:ind w:left="1209"/>
    </w:pPr>
  </w:style>
  <w:style w:type="paragraph" w:styleId="ListBullet5">
    <w:name w:val="List Bullet 5"/>
    <w:basedOn w:val="Normal"/>
    <w:uiPriority w:val="99"/>
    <w:semiHidden/>
    <w:rsid w:val="00014566"/>
    <w:pPr>
      <w:numPr>
        <w:numId w:val="24"/>
      </w:numPr>
      <w:tabs>
        <w:tab w:val="clear" w:pos="1209"/>
        <w:tab w:val="num" w:pos="1492"/>
      </w:tabs>
      <w:ind w:left="1492"/>
    </w:pPr>
  </w:style>
  <w:style w:type="paragraph" w:styleId="ListContinue">
    <w:name w:val="List Continue"/>
    <w:basedOn w:val="Normal"/>
    <w:uiPriority w:val="99"/>
    <w:semiHidden/>
    <w:rsid w:val="00014566"/>
    <w:pPr>
      <w:spacing w:after="120"/>
      <w:ind w:left="283"/>
    </w:pPr>
  </w:style>
  <w:style w:type="paragraph" w:styleId="ListContinue2">
    <w:name w:val="List Continue 2"/>
    <w:basedOn w:val="Normal"/>
    <w:uiPriority w:val="99"/>
    <w:semiHidden/>
    <w:rsid w:val="00014566"/>
    <w:pPr>
      <w:spacing w:after="120"/>
      <w:ind w:left="566"/>
    </w:pPr>
  </w:style>
  <w:style w:type="paragraph" w:styleId="ListContinue3">
    <w:name w:val="List Continue 3"/>
    <w:basedOn w:val="Normal"/>
    <w:uiPriority w:val="99"/>
    <w:semiHidden/>
    <w:rsid w:val="00014566"/>
    <w:pPr>
      <w:spacing w:after="120"/>
      <w:ind w:left="849"/>
    </w:pPr>
  </w:style>
  <w:style w:type="paragraph" w:styleId="ListContinue4">
    <w:name w:val="List Continue 4"/>
    <w:basedOn w:val="Normal"/>
    <w:uiPriority w:val="99"/>
    <w:semiHidden/>
    <w:rsid w:val="00014566"/>
    <w:pPr>
      <w:spacing w:after="120"/>
      <w:ind w:left="1132"/>
    </w:pPr>
  </w:style>
  <w:style w:type="paragraph" w:styleId="ListContinue5">
    <w:name w:val="List Continue 5"/>
    <w:basedOn w:val="Normal"/>
    <w:uiPriority w:val="99"/>
    <w:semiHidden/>
    <w:rsid w:val="00014566"/>
    <w:pPr>
      <w:spacing w:after="120"/>
      <w:ind w:left="1415"/>
    </w:pPr>
  </w:style>
  <w:style w:type="paragraph" w:styleId="ListNumber">
    <w:name w:val="List Number"/>
    <w:basedOn w:val="Normal"/>
    <w:uiPriority w:val="99"/>
    <w:semiHidden/>
    <w:rsid w:val="00014566"/>
    <w:pPr>
      <w:numPr>
        <w:numId w:val="25"/>
      </w:numPr>
      <w:tabs>
        <w:tab w:val="clear" w:pos="1492"/>
        <w:tab w:val="num" w:pos="360"/>
      </w:tabs>
      <w:ind w:left="360"/>
    </w:pPr>
  </w:style>
  <w:style w:type="paragraph" w:styleId="ListNumber2">
    <w:name w:val="List Number 2"/>
    <w:basedOn w:val="Normal"/>
    <w:uiPriority w:val="99"/>
    <w:semiHidden/>
    <w:rsid w:val="00014566"/>
    <w:pPr>
      <w:numPr>
        <w:numId w:val="26"/>
      </w:numPr>
      <w:tabs>
        <w:tab w:val="clear" w:pos="360"/>
        <w:tab w:val="num" w:pos="643"/>
      </w:tabs>
      <w:ind w:left="643"/>
    </w:pPr>
  </w:style>
  <w:style w:type="paragraph" w:styleId="ListNumber3">
    <w:name w:val="List Number 3"/>
    <w:basedOn w:val="Normal"/>
    <w:uiPriority w:val="99"/>
    <w:semiHidden/>
    <w:rsid w:val="00014566"/>
    <w:pPr>
      <w:numPr>
        <w:numId w:val="27"/>
      </w:numPr>
      <w:tabs>
        <w:tab w:val="clear" w:pos="643"/>
        <w:tab w:val="num" w:pos="926"/>
      </w:tabs>
      <w:ind w:left="926"/>
    </w:pPr>
  </w:style>
  <w:style w:type="paragraph" w:styleId="ListNumber4">
    <w:name w:val="List Number 4"/>
    <w:basedOn w:val="Normal"/>
    <w:uiPriority w:val="99"/>
    <w:semiHidden/>
    <w:rsid w:val="00014566"/>
    <w:pPr>
      <w:numPr>
        <w:numId w:val="28"/>
      </w:numPr>
      <w:tabs>
        <w:tab w:val="clear" w:pos="926"/>
        <w:tab w:val="num" w:pos="1209"/>
      </w:tabs>
      <w:ind w:left="1209"/>
    </w:pPr>
  </w:style>
  <w:style w:type="paragraph" w:styleId="ListNumber5">
    <w:name w:val="List Number 5"/>
    <w:basedOn w:val="Normal"/>
    <w:uiPriority w:val="99"/>
    <w:semiHidden/>
    <w:rsid w:val="00014566"/>
    <w:pPr>
      <w:numPr>
        <w:numId w:val="29"/>
      </w:numPr>
      <w:tabs>
        <w:tab w:val="clear" w:pos="1209"/>
        <w:tab w:val="num" w:pos="1492"/>
      </w:tabs>
      <w:ind w:left="1492"/>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locked/>
    <w:rsid w:val="00014566"/>
    <w:rPr>
      <w:rFonts w:ascii="Consolas" w:hAnsi="Consolas" w:cs="Consolas"/>
      <w:lang w:val="en-GB" w:eastAsia="fr-FR"/>
    </w:rPr>
  </w:style>
  <w:style w:type="table" w:styleId="MediumGrid1">
    <w:name w:val="Medium Grid 1"/>
    <w:basedOn w:val="TableNormal"/>
    <w:uiPriority w:val="99"/>
    <w:semiHidden/>
    <w:rsid w:val="00014566"/>
    <w:rPr>
      <w:sz w:val="20"/>
      <w:szCs w:val="20"/>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color w:val="000000"/>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sz w:val="20"/>
      <w:szCs w:val="20"/>
      <w:lang w:val="fr-FR" w:eastAsia="fr-F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sz w:val="20"/>
      <w:szCs w:val="20"/>
      <w:lang w:val="fr-FR" w:eastAsia="fr-FR"/>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sz w:val="20"/>
      <w:szCs w:val="20"/>
      <w:lang w:val="fr-FR" w:eastAsia="fr-FR"/>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sz w:val="20"/>
      <w:szCs w:val="20"/>
      <w:lang w:val="fr-FR" w:eastAsia="fr-FR"/>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sz w:val="20"/>
      <w:szCs w:val="20"/>
      <w:lang w:val="fr-FR" w:eastAsia="fr-FR"/>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color w:val="000000"/>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sz w:val="20"/>
      <w:szCs w:val="20"/>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lang w:val="pl-PL" w:eastAsia="pl-PL"/>
    </w:rPr>
  </w:style>
  <w:style w:type="character" w:customStyle="1" w:styleId="MessageHeaderChar">
    <w:name w:val="Message Header Char"/>
    <w:basedOn w:val="DefaultParagraphFont"/>
    <w:link w:val="MessageHeader"/>
    <w:uiPriority w:val="99"/>
    <w:semiHidden/>
    <w:locked/>
    <w:rsid w:val="00014566"/>
    <w:rPr>
      <w:rFonts w:ascii="Times New Roman" w:hAnsi="Times New Roman" w:cs="Times New Roman"/>
      <w:sz w:val="24"/>
      <w:szCs w:val="24"/>
      <w:shd w:val="pct20" w:color="auto" w:fill="auto"/>
    </w:rPr>
  </w:style>
  <w:style w:type="paragraph" w:styleId="NormalWeb">
    <w:name w:val="Normal (Web)"/>
    <w:basedOn w:val="Normal"/>
    <w:uiPriority w:val="99"/>
    <w:semiHidden/>
    <w:rsid w:val="00014566"/>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rPr>
      <w:lang w:val="pl-PL" w:eastAsia="pl-PL"/>
    </w:rPr>
  </w:style>
  <w:style w:type="character" w:customStyle="1" w:styleId="NoteHeadingChar">
    <w:name w:val="Note Heading Char"/>
    <w:basedOn w:val="DefaultParagraphFont"/>
    <w:link w:val="NoteHeading"/>
    <w:uiPriority w:val="99"/>
    <w:semiHidden/>
    <w:locked/>
    <w:rsid w:val="00014566"/>
    <w:rPr>
      <w:rFonts w:eastAsia="Times New Roman"/>
      <w:sz w:val="24"/>
      <w:szCs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lang w:val="pl-PL" w:eastAsia="pl-PL"/>
    </w:rPr>
  </w:style>
  <w:style w:type="character" w:customStyle="1" w:styleId="PlainTextChar">
    <w:name w:val="Plain Text Char"/>
    <w:basedOn w:val="DefaultParagraphFont"/>
    <w:link w:val="PlainText"/>
    <w:uiPriority w:val="99"/>
    <w:semiHidden/>
    <w:locked/>
    <w:rsid w:val="00014566"/>
    <w:rPr>
      <w:rFonts w:ascii="Consolas" w:hAnsi="Consolas" w:cs="Consolas"/>
      <w:sz w:val="21"/>
      <w:szCs w:val="21"/>
    </w:rPr>
  </w:style>
  <w:style w:type="paragraph" w:styleId="Salutation">
    <w:name w:val="Salutation"/>
    <w:basedOn w:val="Normal"/>
    <w:next w:val="Normal"/>
    <w:link w:val="SalutationChar"/>
    <w:uiPriority w:val="99"/>
    <w:semiHidden/>
    <w:rsid w:val="00014566"/>
    <w:rPr>
      <w:lang w:val="pl-PL" w:eastAsia="pl-PL"/>
    </w:rPr>
  </w:style>
  <w:style w:type="character" w:customStyle="1" w:styleId="SalutationChar">
    <w:name w:val="Salutation Char"/>
    <w:basedOn w:val="DefaultParagraphFont"/>
    <w:link w:val="Salutation"/>
    <w:uiPriority w:val="99"/>
    <w:semiHidden/>
    <w:locked/>
    <w:rsid w:val="00014566"/>
    <w:rPr>
      <w:rFonts w:eastAsia="Times New Roman"/>
      <w:sz w:val="24"/>
      <w:szCs w:val="24"/>
    </w:rPr>
  </w:style>
  <w:style w:type="paragraph" w:styleId="Signature">
    <w:name w:val="Signature"/>
    <w:basedOn w:val="Normal"/>
    <w:link w:val="SignatureChar"/>
    <w:uiPriority w:val="99"/>
    <w:semiHidden/>
    <w:rsid w:val="00014566"/>
    <w:pPr>
      <w:ind w:left="4252"/>
    </w:pPr>
    <w:rPr>
      <w:lang w:val="pl-PL" w:eastAsia="pl-PL"/>
    </w:rPr>
  </w:style>
  <w:style w:type="character" w:customStyle="1" w:styleId="SignatureChar">
    <w:name w:val="Signature Char"/>
    <w:basedOn w:val="DefaultParagraphFont"/>
    <w:link w:val="Signature"/>
    <w:uiPriority w:val="99"/>
    <w:semiHidden/>
    <w:locked/>
    <w:rsid w:val="00014566"/>
    <w:rPr>
      <w:rFonts w:eastAsia="Times New Roman"/>
      <w:sz w:val="24"/>
      <w:szCs w:val="24"/>
    </w:rPr>
  </w:style>
  <w:style w:type="table" w:styleId="Table3Deffects1">
    <w:name w:val="Table 3D effects 1"/>
    <w:basedOn w:val="TableNormal"/>
    <w:uiPriority w:val="99"/>
    <w:semiHidden/>
    <w:rsid w:val="00014566"/>
    <w:pPr>
      <w:suppressAutoHyphens/>
    </w:pPr>
    <w:rPr>
      <w:sz w:val="20"/>
      <w:szCs w:val="20"/>
      <w:lang w:val="fr-FR" w:eastAsia="fr-FR"/>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sz w:val="20"/>
      <w:szCs w:val="20"/>
      <w:lang w:val="fr-FR" w:eastAsia="fr-FR"/>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sz w:val="20"/>
      <w:szCs w:val="20"/>
      <w:lang w:val="fr-FR" w:eastAsia="fr-FR"/>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sz w:val="20"/>
      <w:szCs w:val="20"/>
      <w:lang w:val="fr-FR" w:eastAsia="fr-FR"/>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sz w:val="20"/>
      <w:szCs w:val="20"/>
      <w:lang w:val="fr-FR" w:eastAsia="fr-FR"/>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sz w:val="20"/>
      <w:szCs w:val="20"/>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sz w:val="20"/>
      <w:szCs w:val="20"/>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sz w:val="20"/>
      <w:szCs w:val="20"/>
      <w:lang w:val="fr-FR" w:eastAsia="fr-F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sz w:val="20"/>
      <w:szCs w:val="20"/>
      <w:lang w:val="fr-FR" w:eastAsia="fr-FR"/>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sz w:val="20"/>
      <w:szCs w:val="20"/>
      <w:lang w:val="fr-FR" w:eastAsia="fr-FR"/>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sz w:val="20"/>
      <w:szCs w:val="20"/>
      <w:lang w:val="fr-FR" w:eastAsia="fr-FR"/>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sz w:val="20"/>
      <w:szCs w:val="20"/>
      <w:lang w:val="fr-FR" w:eastAsia="fr-FR"/>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sz w:val="20"/>
      <w:szCs w:val="20"/>
      <w:lang w:val="fr-FR" w:eastAsia="fr-FR"/>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sz w:val="20"/>
      <w:szCs w:val="20"/>
      <w:lang w:val="fr-FR" w:eastAsia="fr-FR"/>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sz w:val="20"/>
      <w:szCs w:val="20"/>
      <w:lang w:val="fr-FR" w:eastAsia="fr-FR"/>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sz w:val="20"/>
      <w:szCs w:val="20"/>
      <w:lang w:val="fr-FR" w:eastAsia="fr-FR"/>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14566"/>
    <w:pPr>
      <w:suppressAutoHyphens/>
    </w:pPr>
    <w:rPr>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JuParaCar">
    <w:name w:val="Ju_Para Car"/>
    <w:link w:val="ECHRPara"/>
    <w:uiPriority w:val="99"/>
    <w:locked/>
    <w:rsid w:val="00946345"/>
    <w:rPr>
      <w:sz w:val="24"/>
      <w:szCs w:val="24"/>
    </w:rPr>
  </w:style>
  <w:style w:type="character" w:customStyle="1" w:styleId="JuParaChar">
    <w:name w:val="Ju_Para Char"/>
    <w:aliases w:val="ECHR_Para Char"/>
    <w:uiPriority w:val="99"/>
    <w:rsid w:val="008F109B"/>
    <w:rPr>
      <w:rFonts w:eastAsia="Times New Roman"/>
      <w:sz w:val="24"/>
      <w:szCs w:val="24"/>
      <w:lang w:val="en-US" w:eastAsia="en-US"/>
    </w:rPr>
  </w:style>
  <w:style w:type="paragraph" w:styleId="Revision">
    <w:name w:val="Revision"/>
    <w:hidden/>
    <w:uiPriority w:val="99"/>
    <w:semiHidden/>
    <w:rsid w:val="002C00A8"/>
    <w:rPr>
      <w:sz w:val="24"/>
      <w:szCs w:val="24"/>
      <w:lang w:val="en-US" w:eastAsia="en-US"/>
    </w:rPr>
  </w:style>
  <w:style w:type="paragraph" w:customStyle="1" w:styleId="Kopflinks">
    <w:name w:val="Kopf_links"/>
    <w:basedOn w:val="Normal"/>
    <w:uiPriority w:val="99"/>
    <w:rsid w:val="00A8515B"/>
    <w:pPr>
      <w:tabs>
        <w:tab w:val="center" w:pos="3686"/>
        <w:tab w:val="right" w:pos="7371"/>
      </w:tabs>
      <w:suppressAutoHyphens/>
      <w:jc w:val="left"/>
    </w:pPr>
    <w:rPr>
      <w:caps/>
      <w:sz w:val="18"/>
      <w:szCs w:val="18"/>
      <w:lang w:val="fr-FR"/>
    </w:rPr>
  </w:style>
  <w:style w:type="character" w:customStyle="1" w:styleId="s4f807e54">
    <w:name w:val="s4f807e54"/>
    <w:uiPriority w:val="99"/>
    <w:rsid w:val="00B41EA2"/>
  </w:style>
  <w:style w:type="character" w:customStyle="1" w:styleId="s7d2086b4">
    <w:name w:val="s7d2086b4"/>
    <w:basedOn w:val="DefaultParagraphFont"/>
    <w:uiPriority w:val="99"/>
    <w:rsid w:val="00A56FFB"/>
  </w:style>
  <w:style w:type="character" w:customStyle="1" w:styleId="sb8d990e2">
    <w:name w:val="sb8d990e2"/>
    <w:basedOn w:val="DefaultParagraphFont"/>
    <w:uiPriority w:val="99"/>
    <w:rsid w:val="00A56FFB"/>
  </w:style>
  <w:style w:type="character" w:customStyle="1" w:styleId="s6b621b36">
    <w:name w:val="s6b621b36"/>
    <w:basedOn w:val="DefaultParagraphFont"/>
    <w:uiPriority w:val="99"/>
    <w:rsid w:val="00403DCF"/>
  </w:style>
  <w:style w:type="paragraph" w:customStyle="1" w:styleId="s30eec3f8">
    <w:name w:val="s30eec3f8"/>
    <w:basedOn w:val="Normal"/>
    <w:uiPriority w:val="99"/>
    <w:rsid w:val="00C733AF"/>
    <w:pPr>
      <w:spacing w:before="100" w:beforeAutospacing="1" w:after="100" w:afterAutospacing="1"/>
      <w:jc w:val="left"/>
    </w:pPr>
    <w:rPr>
      <w:lang w:val="pl-PL" w:eastAsia="pl-PL"/>
    </w:rPr>
  </w:style>
  <w:style w:type="character" w:customStyle="1" w:styleId="sfbbfee58">
    <w:name w:val="sfbbfee58"/>
    <w:basedOn w:val="DefaultParagraphFont"/>
    <w:uiPriority w:val="99"/>
    <w:rsid w:val="00F5224C"/>
  </w:style>
  <w:style w:type="paragraph" w:customStyle="1" w:styleId="s9e9b0cd7">
    <w:name w:val="s9e9b0cd7"/>
    <w:basedOn w:val="Normal"/>
    <w:uiPriority w:val="99"/>
    <w:rsid w:val="00F5224C"/>
    <w:pPr>
      <w:spacing w:before="100" w:beforeAutospacing="1" w:after="100" w:afterAutospacing="1"/>
      <w:jc w:val="left"/>
    </w:pPr>
    <w:rPr>
      <w:lang w:val="pl-PL" w:eastAsia="pl-PL"/>
    </w:rPr>
  </w:style>
  <w:style w:type="character" w:customStyle="1" w:styleId="s1a844bc0">
    <w:name w:val="s1a844bc0"/>
    <w:basedOn w:val="DefaultParagraphFont"/>
    <w:uiPriority w:val="99"/>
    <w:rsid w:val="00F5224C"/>
  </w:style>
  <w:style w:type="character" w:customStyle="1" w:styleId="sdfc50a6a">
    <w:name w:val="sdfc50a6a"/>
    <w:basedOn w:val="DefaultParagraphFont"/>
    <w:uiPriority w:val="99"/>
    <w:rsid w:val="00734205"/>
  </w:style>
  <w:style w:type="paragraph" w:customStyle="1" w:styleId="s19630bcc">
    <w:name w:val="s19630bcc"/>
    <w:basedOn w:val="Normal"/>
    <w:uiPriority w:val="99"/>
    <w:rsid w:val="00734205"/>
    <w:pPr>
      <w:spacing w:before="100" w:beforeAutospacing="1" w:after="100" w:afterAutospacing="1"/>
      <w:jc w:val="left"/>
    </w:pPr>
    <w:rPr>
      <w:lang w:val="pl-PL" w:eastAsia="pl-PL"/>
    </w:rPr>
  </w:style>
  <w:style w:type="paragraph" w:customStyle="1" w:styleId="sc3d30776">
    <w:name w:val="sc3d30776"/>
    <w:basedOn w:val="Normal"/>
    <w:uiPriority w:val="99"/>
    <w:rsid w:val="00BD71C5"/>
    <w:pPr>
      <w:spacing w:before="100" w:beforeAutospacing="1" w:after="100" w:afterAutospacing="1"/>
      <w:jc w:val="left"/>
    </w:pPr>
    <w:rPr>
      <w:lang w:val="pl-PL" w:eastAsia="pl-PL"/>
    </w:rPr>
  </w:style>
  <w:style w:type="character" w:customStyle="1" w:styleId="s25f8fbd9">
    <w:name w:val="s25f8fbd9"/>
    <w:basedOn w:val="DefaultParagraphFont"/>
    <w:uiPriority w:val="99"/>
    <w:rsid w:val="00C63D7F"/>
  </w:style>
  <w:style w:type="character" w:customStyle="1" w:styleId="sae070d1d">
    <w:name w:val="sae070d1d"/>
    <w:basedOn w:val="DefaultParagraphFont"/>
    <w:uiPriority w:val="99"/>
    <w:rsid w:val="0000554B"/>
  </w:style>
  <w:style w:type="paragraph" w:customStyle="1" w:styleId="s6c21291f">
    <w:name w:val="s6c21291f"/>
    <w:basedOn w:val="Normal"/>
    <w:uiPriority w:val="99"/>
    <w:rsid w:val="0000554B"/>
    <w:pPr>
      <w:spacing w:before="100" w:beforeAutospacing="1" w:after="100" w:afterAutospacing="1"/>
      <w:jc w:val="left"/>
    </w:pPr>
    <w:rPr>
      <w:lang w:val="pl-PL" w:eastAsia="pl-PL"/>
    </w:rPr>
  </w:style>
  <w:style w:type="character" w:customStyle="1" w:styleId="s45d7f35c">
    <w:name w:val="s45d7f35c"/>
    <w:basedOn w:val="DefaultParagraphFont"/>
    <w:uiPriority w:val="99"/>
    <w:rsid w:val="0000554B"/>
  </w:style>
  <w:style w:type="character" w:customStyle="1" w:styleId="s38c10080">
    <w:name w:val="s38c10080"/>
    <w:basedOn w:val="DefaultParagraphFont"/>
    <w:uiPriority w:val="99"/>
    <w:rsid w:val="001666E8"/>
  </w:style>
  <w:style w:type="paragraph" w:customStyle="1" w:styleId="sbd4b43cb">
    <w:name w:val="sbd4b43cb"/>
    <w:basedOn w:val="Normal"/>
    <w:uiPriority w:val="99"/>
    <w:rsid w:val="00370397"/>
    <w:pPr>
      <w:spacing w:before="100" w:beforeAutospacing="1" w:after="100" w:afterAutospacing="1"/>
      <w:jc w:val="left"/>
    </w:pPr>
    <w:rPr>
      <w:lang w:val="pl-PL" w:eastAsia="pl-PL"/>
    </w:rPr>
  </w:style>
  <w:style w:type="character" w:customStyle="1" w:styleId="s32a37344">
    <w:name w:val="s32a37344"/>
    <w:basedOn w:val="DefaultParagraphFont"/>
    <w:uiPriority w:val="99"/>
    <w:rsid w:val="00CB427F"/>
  </w:style>
  <w:style w:type="paragraph" w:customStyle="1" w:styleId="s30ccf494">
    <w:name w:val="s30ccf494"/>
    <w:basedOn w:val="Normal"/>
    <w:uiPriority w:val="99"/>
    <w:rsid w:val="00CB427F"/>
    <w:pPr>
      <w:spacing w:before="100" w:beforeAutospacing="1" w:after="100" w:afterAutospacing="1"/>
      <w:jc w:val="left"/>
    </w:pPr>
    <w:rPr>
      <w:lang w:val="pl-PL" w:eastAsia="pl-PL"/>
    </w:rPr>
  </w:style>
  <w:style w:type="paragraph" w:customStyle="1" w:styleId="sfa83d483">
    <w:name w:val="sfa83d483"/>
    <w:basedOn w:val="Normal"/>
    <w:uiPriority w:val="99"/>
    <w:rsid w:val="004A22E2"/>
    <w:pPr>
      <w:spacing w:before="100" w:beforeAutospacing="1" w:after="100" w:afterAutospacing="1"/>
      <w:jc w:val="left"/>
    </w:pPr>
    <w:rPr>
      <w:lang w:val="pl-PL" w:eastAsia="pl-PL"/>
    </w:rPr>
  </w:style>
  <w:style w:type="paragraph" w:customStyle="1" w:styleId="s52b9fb1c">
    <w:name w:val="s52b9fb1c"/>
    <w:basedOn w:val="Normal"/>
    <w:uiPriority w:val="99"/>
    <w:rsid w:val="00751225"/>
    <w:pPr>
      <w:spacing w:before="100" w:beforeAutospacing="1" w:after="100" w:afterAutospacing="1"/>
      <w:jc w:val="left"/>
    </w:pPr>
    <w:rPr>
      <w:lang w:val="pl-PL" w:eastAsia="pl-PL"/>
    </w:rPr>
  </w:style>
  <w:style w:type="numbering" w:styleId="1ai">
    <w:name w:val="Outline List 1"/>
    <w:basedOn w:val="NoList"/>
    <w:uiPriority w:val="99"/>
    <w:semiHidden/>
    <w:unhideWhenUsed/>
    <w:locked/>
    <w:rsid w:val="002C6AF1"/>
    <w:pPr>
      <w:numPr>
        <w:numId w:val="42"/>
      </w:numPr>
    </w:pPr>
  </w:style>
  <w:style w:type="numbering" w:styleId="111111">
    <w:name w:val="Outline List 2"/>
    <w:basedOn w:val="NoList"/>
    <w:uiPriority w:val="99"/>
    <w:semiHidden/>
    <w:unhideWhenUsed/>
    <w:locked/>
    <w:rsid w:val="002C6AF1"/>
    <w:pPr>
      <w:numPr>
        <w:numId w:val="41"/>
      </w:numPr>
    </w:pPr>
  </w:style>
  <w:style w:type="numbering" w:styleId="ArticleSection">
    <w:name w:val="Outline List 3"/>
    <w:basedOn w:val="NoList"/>
    <w:uiPriority w:val="99"/>
    <w:semiHidden/>
    <w:unhideWhenUsed/>
    <w:locked/>
    <w:rsid w:val="002C6AF1"/>
    <w:pPr>
      <w:numPr>
        <w:numId w:val="43"/>
      </w:numPr>
    </w:pPr>
  </w:style>
</w:styles>
</file>

<file path=word/webSettings.xml><?xml version="1.0" encoding="utf-8"?>
<w:webSettings xmlns:r="http://schemas.openxmlformats.org/officeDocument/2006/relationships" xmlns:w="http://schemas.openxmlformats.org/wordprocessingml/2006/main">
  <w:divs>
    <w:div w:id="1622761625">
      <w:marLeft w:val="0"/>
      <w:marRight w:val="0"/>
      <w:marTop w:val="0"/>
      <w:marBottom w:val="0"/>
      <w:divBdr>
        <w:top w:val="none" w:sz="0" w:space="0" w:color="auto"/>
        <w:left w:val="none" w:sz="0" w:space="0" w:color="auto"/>
        <w:bottom w:val="none" w:sz="0" w:space="0" w:color="auto"/>
        <w:right w:val="none" w:sz="0" w:space="0" w:color="auto"/>
      </w:divBdr>
      <w:divsChild>
        <w:div w:id="1622761641">
          <w:marLeft w:val="0"/>
          <w:marRight w:val="0"/>
          <w:marTop w:val="0"/>
          <w:marBottom w:val="0"/>
          <w:divBdr>
            <w:top w:val="none" w:sz="0" w:space="0" w:color="auto"/>
            <w:left w:val="none" w:sz="0" w:space="0" w:color="auto"/>
            <w:bottom w:val="none" w:sz="0" w:space="0" w:color="auto"/>
            <w:right w:val="none" w:sz="0" w:space="0" w:color="auto"/>
          </w:divBdr>
          <w:divsChild>
            <w:div w:id="1622761638">
              <w:marLeft w:val="0"/>
              <w:marRight w:val="0"/>
              <w:marTop w:val="0"/>
              <w:marBottom w:val="0"/>
              <w:divBdr>
                <w:top w:val="none" w:sz="0" w:space="0" w:color="auto"/>
                <w:left w:val="none" w:sz="0" w:space="0" w:color="auto"/>
                <w:bottom w:val="none" w:sz="0" w:space="0" w:color="auto"/>
                <w:right w:val="none" w:sz="0" w:space="0" w:color="auto"/>
              </w:divBdr>
              <w:divsChild>
                <w:div w:id="1622761636">
                  <w:marLeft w:val="0"/>
                  <w:marRight w:val="0"/>
                  <w:marTop w:val="0"/>
                  <w:marBottom w:val="0"/>
                  <w:divBdr>
                    <w:top w:val="none" w:sz="0" w:space="0" w:color="auto"/>
                    <w:left w:val="none" w:sz="0" w:space="0" w:color="auto"/>
                    <w:bottom w:val="none" w:sz="0" w:space="0" w:color="auto"/>
                    <w:right w:val="none" w:sz="0" w:space="0" w:color="auto"/>
                  </w:divBdr>
                  <w:divsChild>
                    <w:div w:id="1622761634">
                      <w:marLeft w:val="0"/>
                      <w:marRight w:val="0"/>
                      <w:marTop w:val="0"/>
                      <w:marBottom w:val="0"/>
                      <w:divBdr>
                        <w:top w:val="none" w:sz="0" w:space="0" w:color="auto"/>
                        <w:left w:val="none" w:sz="0" w:space="0" w:color="auto"/>
                        <w:bottom w:val="none" w:sz="0" w:space="0" w:color="auto"/>
                        <w:right w:val="none" w:sz="0" w:space="0" w:color="auto"/>
                      </w:divBdr>
                      <w:divsChild>
                        <w:div w:id="1622761628">
                          <w:marLeft w:val="0"/>
                          <w:marRight w:val="0"/>
                          <w:marTop w:val="0"/>
                          <w:marBottom w:val="0"/>
                          <w:divBdr>
                            <w:top w:val="none" w:sz="0" w:space="0" w:color="auto"/>
                            <w:left w:val="none" w:sz="0" w:space="0" w:color="auto"/>
                            <w:bottom w:val="none" w:sz="0" w:space="0" w:color="auto"/>
                            <w:right w:val="none" w:sz="0" w:space="0" w:color="auto"/>
                          </w:divBdr>
                        </w:div>
                        <w:div w:id="16227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761631">
      <w:marLeft w:val="0"/>
      <w:marRight w:val="0"/>
      <w:marTop w:val="0"/>
      <w:marBottom w:val="0"/>
      <w:divBdr>
        <w:top w:val="none" w:sz="0" w:space="0" w:color="auto"/>
        <w:left w:val="none" w:sz="0" w:space="0" w:color="auto"/>
        <w:bottom w:val="none" w:sz="0" w:space="0" w:color="auto"/>
        <w:right w:val="none" w:sz="0" w:space="0" w:color="auto"/>
      </w:divBdr>
      <w:divsChild>
        <w:div w:id="1622761627">
          <w:marLeft w:val="0"/>
          <w:marRight w:val="0"/>
          <w:marTop w:val="0"/>
          <w:marBottom w:val="0"/>
          <w:divBdr>
            <w:top w:val="none" w:sz="0" w:space="0" w:color="auto"/>
            <w:left w:val="none" w:sz="0" w:space="0" w:color="auto"/>
            <w:bottom w:val="none" w:sz="0" w:space="0" w:color="auto"/>
            <w:right w:val="none" w:sz="0" w:space="0" w:color="auto"/>
          </w:divBdr>
          <w:divsChild>
            <w:div w:id="1622761639">
              <w:marLeft w:val="0"/>
              <w:marRight w:val="0"/>
              <w:marTop w:val="0"/>
              <w:marBottom w:val="0"/>
              <w:divBdr>
                <w:top w:val="none" w:sz="0" w:space="0" w:color="auto"/>
                <w:left w:val="none" w:sz="0" w:space="0" w:color="auto"/>
                <w:bottom w:val="none" w:sz="0" w:space="0" w:color="auto"/>
                <w:right w:val="none" w:sz="0" w:space="0" w:color="auto"/>
              </w:divBdr>
              <w:divsChild>
                <w:div w:id="1622761635">
                  <w:marLeft w:val="0"/>
                  <w:marRight w:val="0"/>
                  <w:marTop w:val="0"/>
                  <w:marBottom w:val="0"/>
                  <w:divBdr>
                    <w:top w:val="none" w:sz="0" w:space="0" w:color="auto"/>
                    <w:left w:val="none" w:sz="0" w:space="0" w:color="auto"/>
                    <w:bottom w:val="none" w:sz="0" w:space="0" w:color="auto"/>
                    <w:right w:val="none" w:sz="0" w:space="0" w:color="auto"/>
                  </w:divBdr>
                  <w:divsChild>
                    <w:div w:id="1622761624">
                      <w:marLeft w:val="0"/>
                      <w:marRight w:val="0"/>
                      <w:marTop w:val="0"/>
                      <w:marBottom w:val="0"/>
                      <w:divBdr>
                        <w:top w:val="none" w:sz="0" w:space="0" w:color="auto"/>
                        <w:left w:val="none" w:sz="0" w:space="0" w:color="auto"/>
                        <w:bottom w:val="none" w:sz="0" w:space="0" w:color="auto"/>
                        <w:right w:val="none" w:sz="0" w:space="0" w:color="auto"/>
                      </w:divBdr>
                      <w:divsChild>
                        <w:div w:id="1622761642">
                          <w:marLeft w:val="0"/>
                          <w:marRight w:val="0"/>
                          <w:marTop w:val="0"/>
                          <w:marBottom w:val="0"/>
                          <w:divBdr>
                            <w:top w:val="none" w:sz="0" w:space="0" w:color="auto"/>
                            <w:left w:val="none" w:sz="0" w:space="0" w:color="auto"/>
                            <w:bottom w:val="none" w:sz="0" w:space="0" w:color="auto"/>
                            <w:right w:val="none" w:sz="0" w:space="0" w:color="auto"/>
                          </w:divBdr>
                          <w:divsChild>
                            <w:div w:id="16227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761640">
      <w:marLeft w:val="0"/>
      <w:marRight w:val="0"/>
      <w:marTop w:val="0"/>
      <w:marBottom w:val="0"/>
      <w:divBdr>
        <w:top w:val="none" w:sz="0" w:space="0" w:color="auto"/>
        <w:left w:val="none" w:sz="0" w:space="0" w:color="auto"/>
        <w:bottom w:val="none" w:sz="0" w:space="0" w:color="auto"/>
        <w:right w:val="none" w:sz="0" w:space="0" w:color="auto"/>
      </w:divBdr>
    </w:div>
    <w:div w:id="1622761643">
      <w:marLeft w:val="0"/>
      <w:marRight w:val="0"/>
      <w:marTop w:val="0"/>
      <w:marBottom w:val="0"/>
      <w:divBdr>
        <w:top w:val="none" w:sz="0" w:space="0" w:color="auto"/>
        <w:left w:val="none" w:sz="0" w:space="0" w:color="auto"/>
        <w:bottom w:val="none" w:sz="0" w:space="0" w:color="auto"/>
        <w:right w:val="none" w:sz="0" w:space="0" w:color="auto"/>
      </w:divBdr>
      <w:divsChild>
        <w:div w:id="1622761626">
          <w:marLeft w:val="0"/>
          <w:marRight w:val="0"/>
          <w:marTop w:val="0"/>
          <w:marBottom w:val="0"/>
          <w:divBdr>
            <w:top w:val="none" w:sz="0" w:space="0" w:color="auto"/>
            <w:left w:val="none" w:sz="0" w:space="0" w:color="auto"/>
            <w:bottom w:val="none" w:sz="0" w:space="0" w:color="auto"/>
            <w:right w:val="none" w:sz="0" w:space="0" w:color="auto"/>
          </w:divBdr>
          <w:divsChild>
            <w:div w:id="1622761637">
              <w:marLeft w:val="0"/>
              <w:marRight w:val="0"/>
              <w:marTop w:val="0"/>
              <w:marBottom w:val="0"/>
              <w:divBdr>
                <w:top w:val="none" w:sz="0" w:space="0" w:color="auto"/>
                <w:left w:val="none" w:sz="0" w:space="0" w:color="auto"/>
                <w:bottom w:val="none" w:sz="0" w:space="0" w:color="auto"/>
                <w:right w:val="none" w:sz="0" w:space="0" w:color="auto"/>
              </w:divBdr>
              <w:divsChild>
                <w:div w:id="1622761633">
                  <w:marLeft w:val="0"/>
                  <w:marRight w:val="0"/>
                  <w:marTop w:val="0"/>
                  <w:marBottom w:val="0"/>
                  <w:divBdr>
                    <w:top w:val="none" w:sz="0" w:space="0" w:color="auto"/>
                    <w:left w:val="none" w:sz="0" w:space="0" w:color="auto"/>
                    <w:bottom w:val="none" w:sz="0" w:space="0" w:color="auto"/>
                    <w:right w:val="none" w:sz="0" w:space="0" w:color="auto"/>
                  </w:divBdr>
                  <w:divsChild>
                    <w:div w:id="1622761645">
                      <w:marLeft w:val="0"/>
                      <w:marRight w:val="0"/>
                      <w:marTop w:val="0"/>
                      <w:marBottom w:val="0"/>
                      <w:divBdr>
                        <w:top w:val="none" w:sz="0" w:space="0" w:color="auto"/>
                        <w:left w:val="none" w:sz="0" w:space="0" w:color="auto"/>
                        <w:bottom w:val="none" w:sz="0" w:space="0" w:color="auto"/>
                        <w:right w:val="none" w:sz="0" w:space="0" w:color="auto"/>
                      </w:divBdr>
                      <w:divsChild>
                        <w:div w:id="1622761630">
                          <w:marLeft w:val="0"/>
                          <w:marRight w:val="0"/>
                          <w:marTop w:val="0"/>
                          <w:marBottom w:val="0"/>
                          <w:divBdr>
                            <w:top w:val="none" w:sz="0" w:space="0" w:color="auto"/>
                            <w:left w:val="none" w:sz="0" w:space="0" w:color="auto"/>
                            <w:bottom w:val="none" w:sz="0" w:space="0" w:color="auto"/>
                            <w:right w:val="none" w:sz="0" w:space="0" w:color="auto"/>
                          </w:divBdr>
                          <w:divsChild>
                            <w:div w:id="16227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761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40</Pages>
  <Words>14055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Copyright for the Polish translation by Naczelny Sąd Administracyjny, Warszawa 2016</dc:title>
  <dc:subject/>
  <dc:creator/>
  <cp:keywords/>
  <dc:description/>
  <cp:lastModifiedBy/>
  <cp:revision>2</cp:revision>
  <dcterms:created xsi:type="dcterms:W3CDTF">2017-03-16T08:53:00Z</dcterms:created>
  <dcterms:modified xsi:type="dcterms:W3CDTF">2017-03-16T08:53:00Z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