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5C" w:rsidRPr="00D563BB" w:rsidRDefault="00A52C5C" w:rsidP="0000731C">
      <w:pPr>
        <w:spacing w:after="0" w:line="240" w:lineRule="auto"/>
        <w:ind w:left="567" w:right="567"/>
        <w:jc w:val="center"/>
        <w:rPr>
          <w:sz w:val="20"/>
          <w:szCs w:val="20"/>
          <w:lang w:val="fr-BE"/>
        </w:rPr>
      </w:pPr>
      <w:r w:rsidRPr="00362345">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3.25pt;height:95.25pt;visibility:visible">
            <v:imagedata r:id="rId6" o:title=""/>
          </v:shape>
        </w:pict>
      </w:r>
    </w:p>
    <w:p w:rsidR="00A52C5C" w:rsidRPr="00D563BB" w:rsidRDefault="00A52C5C" w:rsidP="00B66D80">
      <w:pPr>
        <w:spacing w:after="0" w:line="240" w:lineRule="auto"/>
        <w:ind w:left="567" w:right="567"/>
        <w:rPr>
          <w:sz w:val="20"/>
          <w:szCs w:val="20"/>
          <w:lang w:val="fr-BE"/>
        </w:rPr>
      </w:pPr>
    </w:p>
    <w:p w:rsidR="00A52C5C" w:rsidRPr="00974379" w:rsidRDefault="00A52C5C" w:rsidP="006B5478">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A52C5C" w:rsidRDefault="00A52C5C" w:rsidP="00B66D80">
      <w:pPr>
        <w:spacing w:after="0" w:line="240" w:lineRule="auto"/>
        <w:ind w:left="567" w:right="567"/>
        <w:rPr>
          <w:sz w:val="26"/>
          <w:szCs w:val="26"/>
          <w:lang w:val="pl-PL"/>
        </w:rPr>
      </w:pPr>
    </w:p>
    <w:p w:rsidR="00A52C5C" w:rsidRDefault="00A52C5C" w:rsidP="00B66D80">
      <w:pPr>
        <w:spacing w:after="0" w:line="240" w:lineRule="auto"/>
        <w:ind w:left="567" w:right="567"/>
        <w:jc w:val="center"/>
        <w:rPr>
          <w:rFonts w:ascii="Times New Roman" w:hAnsi="Times New Roman" w:cs="Times New Roman"/>
          <w:sz w:val="24"/>
          <w:szCs w:val="24"/>
          <w:lang w:val="pl-PL"/>
        </w:rPr>
      </w:pPr>
    </w:p>
    <w:p w:rsidR="00A52C5C" w:rsidRDefault="00A52C5C" w:rsidP="00B66D80">
      <w:pPr>
        <w:spacing w:after="0" w:line="240" w:lineRule="auto"/>
        <w:ind w:left="567" w:right="567"/>
        <w:jc w:val="center"/>
        <w:rPr>
          <w:rFonts w:ascii="Times New Roman" w:hAnsi="Times New Roman" w:cs="Times New Roman"/>
          <w:sz w:val="24"/>
          <w:szCs w:val="24"/>
          <w:lang w:val="pl-PL"/>
        </w:rPr>
      </w:pPr>
    </w:p>
    <w:p w:rsidR="00A52C5C" w:rsidRDefault="00A52C5C" w:rsidP="00B66D80">
      <w:pPr>
        <w:spacing w:after="0" w:line="240" w:lineRule="auto"/>
        <w:ind w:left="567" w:right="567"/>
        <w:jc w:val="center"/>
        <w:rPr>
          <w:rFonts w:ascii="Times New Roman" w:hAnsi="Times New Roman" w:cs="Times New Roman"/>
          <w:sz w:val="24"/>
          <w:szCs w:val="24"/>
          <w:lang w:val="pl-PL"/>
        </w:rPr>
      </w:pPr>
      <w:r>
        <w:rPr>
          <w:rFonts w:ascii="Times New Roman" w:hAnsi="Times New Roman" w:cs="Times New Roman"/>
          <w:sz w:val="24"/>
          <w:szCs w:val="24"/>
          <w:lang w:val="pl-PL"/>
        </w:rPr>
        <w:t>EUROPEJSKI TRYBUNAŁ PRAW CZŁOWIEKA</w:t>
      </w:r>
    </w:p>
    <w:p w:rsidR="00A52C5C" w:rsidRDefault="00A52C5C" w:rsidP="00B66D80">
      <w:pPr>
        <w:spacing w:after="0" w:line="240" w:lineRule="auto"/>
        <w:ind w:left="567" w:right="567"/>
        <w:jc w:val="center"/>
        <w:rPr>
          <w:rFonts w:ascii="Times New Roman" w:hAnsi="Times New Roman" w:cs="Times New Roman"/>
          <w:sz w:val="24"/>
          <w:szCs w:val="24"/>
          <w:lang w:val="pl-PL"/>
        </w:rPr>
      </w:pPr>
    </w:p>
    <w:p w:rsidR="00A52C5C" w:rsidRPr="00B025B2" w:rsidRDefault="00A52C5C" w:rsidP="00B66D80">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sz w:val="24"/>
          <w:szCs w:val="24"/>
          <w:lang w:val="pl-PL"/>
        </w:rPr>
        <w:t>PIERWSZA SEKCJA</w:t>
      </w:r>
    </w:p>
    <w:p w:rsidR="00A52C5C" w:rsidRPr="00B025B2" w:rsidRDefault="00A52C5C" w:rsidP="00B66D80">
      <w:pPr>
        <w:spacing w:after="0" w:line="240" w:lineRule="auto"/>
        <w:ind w:left="567" w:right="567"/>
        <w:rPr>
          <w:sz w:val="20"/>
          <w:szCs w:val="20"/>
          <w:lang w:val="pl-PL"/>
        </w:rPr>
      </w:pPr>
    </w:p>
    <w:p w:rsidR="00A52C5C" w:rsidRPr="00B025B2" w:rsidRDefault="00A52C5C" w:rsidP="00B66D80">
      <w:pPr>
        <w:spacing w:after="0" w:line="240" w:lineRule="auto"/>
        <w:ind w:left="567" w:right="567"/>
        <w:rPr>
          <w:sz w:val="20"/>
          <w:szCs w:val="20"/>
          <w:lang w:val="pl-PL"/>
        </w:rPr>
      </w:pPr>
    </w:p>
    <w:p w:rsidR="00A52C5C" w:rsidRPr="00B025B2" w:rsidRDefault="00A52C5C" w:rsidP="00B66D80">
      <w:pPr>
        <w:spacing w:after="0" w:line="240" w:lineRule="auto"/>
        <w:ind w:left="567" w:right="567"/>
        <w:rPr>
          <w:sz w:val="20"/>
          <w:szCs w:val="20"/>
          <w:lang w:val="pl-PL"/>
        </w:rPr>
      </w:pPr>
    </w:p>
    <w:p w:rsidR="00A52C5C" w:rsidRDefault="00A52C5C" w:rsidP="00B66D80">
      <w:pPr>
        <w:spacing w:after="0" w:line="240" w:lineRule="auto"/>
        <w:ind w:left="567" w:right="567"/>
        <w:rPr>
          <w:sz w:val="20"/>
          <w:szCs w:val="20"/>
          <w:lang w:val="pl-PL"/>
        </w:rPr>
      </w:pPr>
    </w:p>
    <w:p w:rsidR="00A52C5C" w:rsidRPr="00B025B2" w:rsidRDefault="00A52C5C" w:rsidP="00B66D80">
      <w:pPr>
        <w:spacing w:after="0" w:line="240" w:lineRule="auto"/>
        <w:ind w:left="567" w:right="567"/>
        <w:rPr>
          <w:sz w:val="20"/>
          <w:szCs w:val="20"/>
          <w:lang w:val="pl-PL"/>
        </w:rPr>
      </w:pPr>
    </w:p>
    <w:p w:rsidR="00A52C5C" w:rsidRPr="00B025B2" w:rsidRDefault="00A52C5C" w:rsidP="00B66D80">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b/>
          <w:bCs/>
          <w:sz w:val="24"/>
          <w:szCs w:val="24"/>
          <w:lang w:val="pl-PL"/>
        </w:rPr>
        <w:t>SPRAWA NAVALNYY I YASHIN przeciwko ROSJI</w:t>
      </w:r>
    </w:p>
    <w:p w:rsidR="00A52C5C" w:rsidRPr="00B025B2" w:rsidRDefault="00A52C5C" w:rsidP="00B66D80">
      <w:pPr>
        <w:spacing w:after="0" w:line="240" w:lineRule="auto"/>
        <w:ind w:left="567" w:right="567"/>
        <w:rPr>
          <w:sz w:val="26"/>
          <w:szCs w:val="26"/>
          <w:lang w:val="pl-PL"/>
        </w:rPr>
      </w:pPr>
    </w:p>
    <w:p w:rsidR="00A52C5C" w:rsidRPr="00B025B2" w:rsidRDefault="00A52C5C" w:rsidP="00B66D80">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i/>
          <w:iCs/>
          <w:sz w:val="24"/>
          <w:szCs w:val="24"/>
          <w:lang w:val="pl-PL"/>
        </w:rPr>
        <w:t>(Skarga nr 76204/11)</w:t>
      </w:r>
    </w:p>
    <w:p w:rsidR="00A52C5C" w:rsidRPr="00B025B2" w:rsidRDefault="00A52C5C" w:rsidP="00B66D80">
      <w:pPr>
        <w:spacing w:after="0" w:line="240" w:lineRule="auto"/>
        <w:ind w:left="567" w:right="567"/>
        <w:rPr>
          <w:sz w:val="13"/>
          <w:szCs w:val="13"/>
          <w:lang w:val="pl-PL"/>
        </w:rPr>
      </w:pPr>
    </w:p>
    <w:p w:rsidR="00A52C5C" w:rsidRPr="00B025B2" w:rsidRDefault="00A52C5C" w:rsidP="00B66D80">
      <w:pPr>
        <w:spacing w:after="0" w:line="240" w:lineRule="auto"/>
        <w:ind w:left="567" w:right="567"/>
        <w:rPr>
          <w:sz w:val="20"/>
          <w:szCs w:val="20"/>
          <w:lang w:val="pl-PL"/>
        </w:rPr>
      </w:pPr>
    </w:p>
    <w:p w:rsidR="00A52C5C" w:rsidRPr="00B025B2" w:rsidRDefault="00A52C5C" w:rsidP="00B66D80">
      <w:pPr>
        <w:spacing w:after="0" w:line="240" w:lineRule="auto"/>
        <w:ind w:left="567" w:right="567"/>
        <w:rPr>
          <w:sz w:val="20"/>
          <w:szCs w:val="20"/>
          <w:lang w:val="pl-PL"/>
        </w:rPr>
      </w:pPr>
    </w:p>
    <w:p w:rsidR="00A52C5C" w:rsidRDefault="00A52C5C" w:rsidP="0023783A">
      <w:pPr>
        <w:spacing w:after="0" w:line="240" w:lineRule="auto"/>
        <w:ind w:left="567" w:right="567"/>
        <w:jc w:val="center"/>
        <w:rPr>
          <w:rFonts w:ascii="Times New Roman" w:hAnsi="Times New Roman" w:cs="Times New Roman"/>
          <w:sz w:val="24"/>
          <w:szCs w:val="24"/>
          <w:lang w:val="pl-PL"/>
        </w:rPr>
      </w:pPr>
    </w:p>
    <w:p w:rsidR="00A52C5C" w:rsidRDefault="00A52C5C" w:rsidP="0023783A">
      <w:pPr>
        <w:spacing w:after="0" w:line="240" w:lineRule="auto"/>
        <w:ind w:left="567" w:right="567"/>
        <w:jc w:val="center"/>
        <w:rPr>
          <w:rFonts w:ascii="Times New Roman" w:hAnsi="Times New Roman" w:cs="Times New Roman"/>
          <w:sz w:val="24"/>
          <w:szCs w:val="24"/>
          <w:lang w:val="pl-PL"/>
        </w:rPr>
      </w:pPr>
    </w:p>
    <w:p w:rsidR="00A52C5C" w:rsidRDefault="00A52C5C" w:rsidP="0023783A">
      <w:pPr>
        <w:spacing w:after="0" w:line="240" w:lineRule="auto"/>
        <w:ind w:left="567" w:right="567"/>
        <w:jc w:val="center"/>
        <w:rPr>
          <w:rFonts w:ascii="Times New Roman" w:hAnsi="Times New Roman" w:cs="Times New Roman"/>
          <w:sz w:val="24"/>
          <w:szCs w:val="24"/>
          <w:lang w:val="pl-PL"/>
        </w:rPr>
      </w:pPr>
    </w:p>
    <w:p w:rsidR="00A52C5C" w:rsidRDefault="00A52C5C" w:rsidP="0023783A">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sz w:val="24"/>
          <w:szCs w:val="24"/>
          <w:lang w:val="pl-PL"/>
        </w:rPr>
        <w:t>WYROK</w:t>
      </w:r>
    </w:p>
    <w:p w:rsidR="00A52C5C" w:rsidRDefault="00A52C5C" w:rsidP="0023783A">
      <w:pPr>
        <w:spacing w:after="0" w:line="240" w:lineRule="auto"/>
        <w:ind w:left="567" w:right="567"/>
        <w:jc w:val="center"/>
        <w:rPr>
          <w:rFonts w:ascii="Times New Roman" w:hAnsi="Times New Roman" w:cs="Times New Roman"/>
          <w:sz w:val="24"/>
          <w:szCs w:val="24"/>
          <w:lang w:val="pl-PL"/>
        </w:rPr>
      </w:pPr>
    </w:p>
    <w:p w:rsidR="00A52C5C" w:rsidRPr="00B025B2" w:rsidRDefault="00A52C5C" w:rsidP="0023783A">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sz w:val="24"/>
          <w:szCs w:val="24"/>
          <w:lang w:val="pl-PL"/>
        </w:rPr>
        <w:t>STRASBURG</w:t>
      </w:r>
    </w:p>
    <w:p w:rsidR="00A52C5C" w:rsidRPr="00B025B2" w:rsidRDefault="00A52C5C" w:rsidP="0023783A">
      <w:pPr>
        <w:spacing w:after="0" w:line="240" w:lineRule="auto"/>
        <w:ind w:left="567" w:right="567"/>
        <w:jc w:val="center"/>
        <w:rPr>
          <w:sz w:val="26"/>
          <w:szCs w:val="26"/>
          <w:lang w:val="pl-PL"/>
        </w:rPr>
      </w:pPr>
    </w:p>
    <w:p w:rsidR="00A52C5C" w:rsidRPr="00B025B2" w:rsidRDefault="00A52C5C" w:rsidP="0023783A">
      <w:pPr>
        <w:spacing w:after="0" w:line="240" w:lineRule="auto"/>
        <w:ind w:left="567" w:right="567"/>
        <w:jc w:val="center"/>
        <w:rPr>
          <w:rFonts w:ascii="Times New Roman" w:hAnsi="Times New Roman" w:cs="Times New Roman"/>
          <w:sz w:val="24"/>
          <w:szCs w:val="24"/>
          <w:lang w:val="pl-PL"/>
        </w:rPr>
      </w:pPr>
      <w:r w:rsidRPr="009C0834">
        <w:rPr>
          <w:rFonts w:ascii="Times New Roman" w:hAnsi="Times New Roman" w:cs="Times New Roman"/>
          <w:sz w:val="24"/>
          <w:szCs w:val="24"/>
          <w:lang w:val="pl-PL"/>
        </w:rPr>
        <w:t>4 grudnia 2014 r.</w:t>
      </w:r>
    </w:p>
    <w:p w:rsidR="00A52C5C" w:rsidRPr="00B025B2" w:rsidRDefault="00A52C5C" w:rsidP="0023783A">
      <w:pPr>
        <w:spacing w:after="0" w:line="240" w:lineRule="auto"/>
        <w:ind w:left="567" w:right="567"/>
        <w:jc w:val="center"/>
        <w:rPr>
          <w:sz w:val="15"/>
          <w:szCs w:val="15"/>
          <w:lang w:val="pl-PL"/>
        </w:rPr>
      </w:pPr>
    </w:p>
    <w:p w:rsidR="00A52C5C" w:rsidRDefault="00A52C5C" w:rsidP="0023783A">
      <w:pPr>
        <w:spacing w:after="0" w:line="240" w:lineRule="auto"/>
        <w:ind w:left="567" w:right="567"/>
        <w:jc w:val="center"/>
        <w:rPr>
          <w:sz w:val="20"/>
          <w:szCs w:val="20"/>
          <w:lang w:val="pl-PL"/>
        </w:rPr>
      </w:pPr>
    </w:p>
    <w:p w:rsidR="00A52C5C" w:rsidRPr="00B025B2" w:rsidRDefault="00A52C5C" w:rsidP="0023783A">
      <w:pPr>
        <w:spacing w:after="0" w:line="240" w:lineRule="auto"/>
        <w:ind w:left="567" w:right="567"/>
        <w:jc w:val="center"/>
        <w:rPr>
          <w:sz w:val="20"/>
          <w:szCs w:val="20"/>
          <w:lang w:val="pl-PL"/>
        </w:rPr>
      </w:pPr>
      <w:bookmarkStart w:id="0" w:name="_GoBack"/>
      <w:bookmarkEnd w:id="0"/>
    </w:p>
    <w:p w:rsidR="00A52C5C" w:rsidRPr="00B025B2" w:rsidRDefault="00A52C5C" w:rsidP="0023783A">
      <w:pPr>
        <w:spacing w:after="0" w:line="240" w:lineRule="auto"/>
        <w:ind w:left="567" w:right="567"/>
        <w:jc w:val="center"/>
        <w:rPr>
          <w:sz w:val="20"/>
          <w:szCs w:val="20"/>
          <w:lang w:val="pl-PL"/>
        </w:rPr>
      </w:pPr>
    </w:p>
    <w:p w:rsidR="00A52C5C" w:rsidRPr="00B025B2" w:rsidRDefault="00A52C5C" w:rsidP="0023783A">
      <w:pPr>
        <w:spacing w:after="0" w:line="240" w:lineRule="auto"/>
        <w:ind w:left="567" w:right="567"/>
        <w:jc w:val="center"/>
        <w:rPr>
          <w:rFonts w:ascii="Times New Roman" w:hAnsi="Times New Roman" w:cs="Times New Roman"/>
          <w:sz w:val="28"/>
          <w:szCs w:val="28"/>
          <w:u w:val="single"/>
          <w:lang w:val="pl-PL"/>
        </w:rPr>
      </w:pPr>
      <w:r w:rsidRPr="009C0834">
        <w:rPr>
          <w:rFonts w:ascii="Times New Roman" w:hAnsi="Times New Roman" w:cs="Times New Roman"/>
          <w:b/>
          <w:bCs/>
          <w:color w:val="FF0000"/>
          <w:sz w:val="28"/>
          <w:szCs w:val="28"/>
          <w:u w:val="single"/>
          <w:lang w:val="pl-PL"/>
        </w:rPr>
        <w:t>OSTATECZNY</w:t>
      </w:r>
    </w:p>
    <w:p w:rsidR="00A52C5C" w:rsidRPr="00B025B2" w:rsidRDefault="00A52C5C" w:rsidP="0023783A">
      <w:pPr>
        <w:spacing w:after="0" w:line="240" w:lineRule="auto"/>
        <w:ind w:left="567" w:right="567"/>
        <w:jc w:val="center"/>
        <w:rPr>
          <w:sz w:val="28"/>
          <w:szCs w:val="28"/>
          <w:lang w:val="pl-PL"/>
        </w:rPr>
      </w:pPr>
    </w:p>
    <w:p w:rsidR="00A52C5C" w:rsidRPr="00B025B2" w:rsidRDefault="00A52C5C" w:rsidP="0023783A">
      <w:pPr>
        <w:spacing w:after="0" w:line="240" w:lineRule="auto"/>
        <w:ind w:left="567" w:right="567"/>
        <w:jc w:val="center"/>
        <w:rPr>
          <w:rFonts w:ascii="Times New Roman" w:hAnsi="Times New Roman" w:cs="Times New Roman"/>
          <w:sz w:val="28"/>
          <w:szCs w:val="28"/>
          <w:lang w:val="pl-PL"/>
        </w:rPr>
      </w:pPr>
      <w:r w:rsidRPr="009C0834">
        <w:rPr>
          <w:rFonts w:ascii="Times New Roman" w:hAnsi="Times New Roman" w:cs="Times New Roman"/>
          <w:color w:val="FF0000"/>
          <w:sz w:val="28"/>
          <w:szCs w:val="28"/>
          <w:lang w:val="pl-PL"/>
        </w:rPr>
        <w:t>20/04/2015</w:t>
      </w:r>
    </w:p>
    <w:p w:rsidR="00A52C5C" w:rsidRPr="00B025B2" w:rsidRDefault="00A52C5C" w:rsidP="00B66D80">
      <w:pPr>
        <w:spacing w:after="0" w:line="240" w:lineRule="auto"/>
        <w:ind w:left="567" w:right="567"/>
        <w:rPr>
          <w:sz w:val="28"/>
          <w:szCs w:val="28"/>
          <w:lang w:val="pl-PL"/>
        </w:rPr>
      </w:pPr>
    </w:p>
    <w:p w:rsidR="00A52C5C" w:rsidRDefault="00A52C5C" w:rsidP="00B66D80">
      <w:pPr>
        <w:spacing w:after="0" w:line="240" w:lineRule="auto"/>
        <w:ind w:left="567" w:right="567"/>
        <w:jc w:val="center"/>
        <w:rPr>
          <w:rFonts w:ascii="Times New Roman" w:hAnsi="Times New Roman" w:cs="Times New Roman"/>
          <w:i/>
          <w:iCs/>
          <w:lang w:val="pl-PL"/>
        </w:rPr>
      </w:pPr>
      <w:r w:rsidRPr="009C0834">
        <w:rPr>
          <w:rFonts w:ascii="Times New Roman" w:hAnsi="Times New Roman" w:cs="Times New Roman"/>
          <w:i/>
          <w:iCs/>
          <w:lang w:val="pl-PL"/>
        </w:rPr>
        <w:t xml:space="preserve">Niniejszy wyrok zyskał moc ostateczną na mocy art. 44 § 2 Konwencji. </w:t>
      </w:r>
    </w:p>
    <w:p w:rsidR="00A52C5C" w:rsidRDefault="00A52C5C" w:rsidP="00B66D80">
      <w:pPr>
        <w:spacing w:after="0" w:line="240" w:lineRule="auto"/>
        <w:ind w:left="567" w:right="567"/>
        <w:jc w:val="center"/>
        <w:rPr>
          <w:rFonts w:ascii="Times New Roman" w:hAnsi="Times New Roman" w:cs="Times New Roman"/>
          <w:i/>
          <w:iCs/>
        </w:rPr>
      </w:pPr>
      <w:r>
        <w:rPr>
          <w:rFonts w:ascii="Times New Roman" w:hAnsi="Times New Roman" w:cs="Times New Roman"/>
          <w:i/>
          <w:iCs/>
        </w:rPr>
        <w:t>Wyrok podlega korekcie wydawniczej.</w:t>
      </w:r>
    </w:p>
    <w:p w:rsidR="00A52C5C" w:rsidRPr="00320267" w:rsidRDefault="00A52C5C" w:rsidP="00B66D80">
      <w:pPr>
        <w:spacing w:after="0" w:line="240" w:lineRule="auto"/>
        <w:ind w:left="567" w:right="567"/>
        <w:jc w:val="center"/>
        <w:rPr>
          <w:rFonts w:ascii="Times New Roman" w:hAnsi="Times New Roman" w:cs="Times New Roman"/>
        </w:rPr>
      </w:pPr>
    </w:p>
    <w:p w:rsidR="00A52C5C" w:rsidRPr="00320267" w:rsidRDefault="00A52C5C" w:rsidP="00B66D80">
      <w:pPr>
        <w:spacing w:after="0" w:line="240" w:lineRule="auto"/>
        <w:ind w:left="567" w:right="567"/>
        <w:jc w:val="center"/>
        <w:rPr>
          <w:rFonts w:ascii="Times New Roman" w:hAnsi="Times New Roman" w:cs="Times New Roman"/>
          <w:sz w:val="20"/>
          <w:szCs w:val="20"/>
        </w:rPr>
      </w:pPr>
      <w:r>
        <w:pict>
          <v:shape id="_x0000_i1026" type="#_x0000_t75" style="width:53.25pt;height:42.75pt;mso-position-horizontal-relative:char;mso-position-vertical-relative:line">
            <v:imagedata r:id="rId7" o:title=""/>
          </v:shape>
        </w:pict>
      </w:r>
    </w:p>
    <w:p w:rsidR="00A52C5C" w:rsidRPr="00320267" w:rsidRDefault="00A52C5C" w:rsidP="00B66D80">
      <w:pPr>
        <w:spacing w:after="0" w:line="240" w:lineRule="auto"/>
        <w:ind w:left="567" w:right="567"/>
        <w:sectPr w:rsidR="00A52C5C" w:rsidRPr="00320267" w:rsidSect="0023783A">
          <w:headerReference w:type="even" r:id="rId8"/>
          <w:headerReference w:type="default" r:id="rId9"/>
          <w:footerReference w:type="even" r:id="rId10"/>
          <w:footerReference w:type="default" r:id="rId11"/>
          <w:type w:val="continuous"/>
          <w:pgSz w:w="11907" w:h="16840" w:code="21"/>
          <w:pgMar w:top="1418" w:right="1418" w:bottom="1418" w:left="1418" w:header="1588" w:footer="0" w:gutter="0"/>
          <w:cols w:space="708"/>
        </w:sectPr>
      </w:pPr>
    </w:p>
    <w:p w:rsidR="00A52C5C" w:rsidRPr="00B025B2" w:rsidRDefault="00A52C5C" w:rsidP="00A500BE">
      <w:pPr>
        <w:spacing w:after="0" w:line="240" w:lineRule="auto"/>
        <w:ind w:left="881"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W sprawie Navalnyy i Yashin przeciwko Rosji,</w:t>
      </w:r>
    </w:p>
    <w:p w:rsidR="00A52C5C" w:rsidRPr="00B025B2" w:rsidRDefault="00A52C5C" w:rsidP="00A500BE">
      <w:pPr>
        <w:pStyle w:val="Styl1"/>
        <w:rPr>
          <w:lang/>
        </w:rPr>
      </w:pPr>
      <w:r w:rsidRPr="009C0834">
        <w:rPr>
          <w:lang/>
        </w:rPr>
        <w:t>Europejski Trybunał Praw Człowieka (Pierwsza Sekcja), zasiadając jako Izba w składzie:</w:t>
      </w:r>
    </w:p>
    <w:p w:rsidR="00A52C5C" w:rsidRPr="00B025B2" w:rsidRDefault="00A52C5C" w:rsidP="00A500BE">
      <w:pPr>
        <w:spacing w:after="0" w:line="240" w:lineRule="auto"/>
        <w:ind w:left="1163"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Isabelle Berro-Lefèvre,</w:t>
      </w:r>
      <w:r w:rsidRPr="009C0834">
        <w:rPr>
          <w:rFonts w:ascii="Times New Roman" w:hAnsi="Times New Roman" w:cs="Times New Roman"/>
          <w:i/>
          <w:iCs/>
          <w:sz w:val="24"/>
          <w:szCs w:val="24"/>
          <w:lang w:val="pl-PL"/>
        </w:rPr>
        <w:t xml:space="preserve"> Przewodnicząca,</w:t>
      </w:r>
    </w:p>
    <w:p w:rsidR="00A52C5C" w:rsidRPr="00B025B2" w:rsidRDefault="00A52C5C" w:rsidP="00A500BE">
      <w:pPr>
        <w:spacing w:after="0" w:line="240" w:lineRule="auto"/>
        <w:ind w:left="1163"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Elisabeth Steiner,</w:t>
      </w:r>
    </w:p>
    <w:p w:rsidR="00A52C5C" w:rsidRPr="00D563BB" w:rsidRDefault="00A52C5C" w:rsidP="00A500BE">
      <w:pPr>
        <w:spacing w:after="0" w:line="240" w:lineRule="auto"/>
        <w:ind w:left="1163" w:right="567"/>
        <w:jc w:val="both"/>
        <w:rPr>
          <w:rFonts w:ascii="Times New Roman" w:hAnsi="Times New Roman" w:cs="Times New Roman"/>
          <w:sz w:val="24"/>
          <w:szCs w:val="24"/>
          <w:lang w:val="fr-BE"/>
        </w:rPr>
      </w:pPr>
      <w:r w:rsidRPr="00D563BB">
        <w:rPr>
          <w:rFonts w:ascii="Times New Roman" w:hAnsi="Times New Roman" w:cs="Times New Roman"/>
          <w:sz w:val="24"/>
          <w:szCs w:val="24"/>
          <w:lang w:val="fr-BE"/>
        </w:rPr>
        <w:t>Paulo Pinto de Albuquerque,</w:t>
      </w:r>
    </w:p>
    <w:p w:rsidR="00A52C5C" w:rsidRPr="00D563BB" w:rsidRDefault="00A52C5C" w:rsidP="00A500BE">
      <w:pPr>
        <w:spacing w:after="0" w:line="240" w:lineRule="auto"/>
        <w:ind w:left="1163" w:right="567"/>
        <w:jc w:val="both"/>
        <w:rPr>
          <w:rFonts w:ascii="Times New Roman" w:hAnsi="Times New Roman" w:cs="Times New Roman"/>
          <w:sz w:val="24"/>
          <w:szCs w:val="24"/>
          <w:lang w:val="fr-BE"/>
        </w:rPr>
      </w:pPr>
      <w:r w:rsidRPr="00D563BB">
        <w:rPr>
          <w:rFonts w:ascii="Times New Roman" w:hAnsi="Times New Roman" w:cs="Times New Roman"/>
          <w:sz w:val="24"/>
          <w:szCs w:val="24"/>
          <w:lang w:val="fr-BE"/>
        </w:rPr>
        <w:t>Linos-Alexandre Sicilianos,</w:t>
      </w:r>
    </w:p>
    <w:p w:rsidR="00A52C5C" w:rsidRPr="00D563BB" w:rsidRDefault="00A52C5C" w:rsidP="00A500BE">
      <w:pPr>
        <w:spacing w:after="0" w:line="240" w:lineRule="auto"/>
        <w:ind w:left="1163" w:right="567"/>
        <w:jc w:val="both"/>
        <w:rPr>
          <w:rFonts w:ascii="Times New Roman" w:hAnsi="Times New Roman" w:cs="Times New Roman"/>
          <w:sz w:val="24"/>
          <w:szCs w:val="24"/>
          <w:lang w:val="fr-BE"/>
        </w:rPr>
      </w:pPr>
      <w:r w:rsidRPr="00D563BB">
        <w:rPr>
          <w:rFonts w:ascii="Times New Roman" w:hAnsi="Times New Roman" w:cs="Times New Roman"/>
          <w:sz w:val="24"/>
          <w:szCs w:val="24"/>
          <w:lang w:val="fr-BE"/>
        </w:rPr>
        <w:t>Erik Møse,</w:t>
      </w:r>
    </w:p>
    <w:p w:rsidR="00A52C5C" w:rsidRPr="00D563BB" w:rsidRDefault="00A52C5C" w:rsidP="00A500BE">
      <w:pPr>
        <w:spacing w:after="0" w:line="240" w:lineRule="auto"/>
        <w:ind w:left="1163" w:right="567"/>
        <w:jc w:val="both"/>
        <w:rPr>
          <w:rFonts w:ascii="Times New Roman" w:hAnsi="Times New Roman" w:cs="Times New Roman"/>
          <w:sz w:val="24"/>
          <w:szCs w:val="24"/>
          <w:lang w:val="fr-BE"/>
        </w:rPr>
      </w:pPr>
      <w:r w:rsidRPr="00D563BB">
        <w:rPr>
          <w:rFonts w:ascii="Times New Roman" w:hAnsi="Times New Roman" w:cs="Times New Roman"/>
          <w:sz w:val="24"/>
          <w:szCs w:val="24"/>
          <w:lang w:val="fr-BE"/>
        </w:rPr>
        <w:t>Ksenija Turković,</w:t>
      </w:r>
    </w:p>
    <w:p w:rsidR="00A52C5C" w:rsidRPr="00D563BB" w:rsidRDefault="00A52C5C" w:rsidP="00A500BE">
      <w:pPr>
        <w:spacing w:after="0" w:line="240" w:lineRule="auto"/>
        <w:ind w:left="1163" w:right="567"/>
        <w:jc w:val="both"/>
        <w:rPr>
          <w:rFonts w:ascii="Times New Roman" w:hAnsi="Times New Roman" w:cs="Times New Roman"/>
          <w:sz w:val="24"/>
          <w:szCs w:val="24"/>
          <w:lang w:val="fr-BE"/>
        </w:rPr>
      </w:pPr>
      <w:r w:rsidRPr="00D563BB">
        <w:rPr>
          <w:rFonts w:ascii="Times New Roman" w:hAnsi="Times New Roman" w:cs="Times New Roman"/>
          <w:sz w:val="24"/>
          <w:szCs w:val="24"/>
          <w:lang w:val="fr-BE"/>
        </w:rPr>
        <w:t xml:space="preserve">Dmitry Dedov, </w:t>
      </w:r>
      <w:r w:rsidRPr="00D563BB">
        <w:rPr>
          <w:rFonts w:ascii="Times New Roman" w:hAnsi="Times New Roman" w:cs="Times New Roman"/>
          <w:i/>
          <w:iCs/>
          <w:sz w:val="24"/>
          <w:szCs w:val="24"/>
          <w:lang w:val="fr-BE"/>
        </w:rPr>
        <w:t>sędziowie,</w:t>
      </w: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oraz Søren Nielsen, </w:t>
      </w:r>
      <w:r w:rsidRPr="009C0834">
        <w:rPr>
          <w:rFonts w:ascii="Times New Roman" w:hAnsi="Times New Roman" w:cs="Times New Roman"/>
          <w:i/>
          <w:iCs/>
          <w:sz w:val="24"/>
          <w:szCs w:val="24"/>
          <w:lang w:val="pl-PL"/>
        </w:rPr>
        <w:t>Kanclerz Sekcji,</w:t>
      </w:r>
    </w:p>
    <w:p w:rsidR="00A52C5C" w:rsidRPr="00B025B2" w:rsidRDefault="00A52C5C" w:rsidP="00A500BE">
      <w:pPr>
        <w:spacing w:after="0" w:line="240" w:lineRule="auto"/>
        <w:ind w:left="881"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Obradując na posiedzeniu niejawnym w dniu 13 listopada 2014 r.,</w:t>
      </w:r>
    </w:p>
    <w:p w:rsidR="00A52C5C" w:rsidRPr="00B025B2" w:rsidRDefault="00A52C5C" w:rsidP="00A500BE">
      <w:pPr>
        <w:spacing w:after="0" w:line="240" w:lineRule="auto"/>
        <w:ind w:left="881"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wydaje następujący wyrok, który został przyjęty w tym dniu:</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8"/>
          <w:szCs w:val="28"/>
          <w:lang w:val="pl-PL"/>
        </w:rPr>
      </w:pPr>
      <w:r w:rsidRPr="009C0834">
        <w:rPr>
          <w:rFonts w:ascii="Times New Roman" w:hAnsi="Times New Roman" w:cs="Times New Roman"/>
          <w:sz w:val="28"/>
          <w:szCs w:val="28"/>
          <w:lang w:val="pl-PL"/>
        </w:rPr>
        <w:t>POSTĘPOWANIE</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pStyle w:val="Styl1"/>
        <w:rPr>
          <w:lang/>
        </w:rPr>
      </w:pPr>
      <w:r w:rsidRPr="009C0834">
        <w:rPr>
          <w:lang/>
        </w:rPr>
        <w:t>1. Sprawa wywodzi się ze skargi (skarga nr 76204/11) wniesionej do Trybunału dnia 11 grudnia 2011 r. przeciwko Federacji Rosyjskiej na mocy art. 34 Konwencji o ochronie praw człowieka i podstawowych wolności („Konwencji”) przez dwóch obywateli rosyjskich, p. Alekseya Anatolyevicha Navalnego [Aleksieja Anatoljewicza Nawalnego] i p. Ilyi Valeryevicha Yashina [Ilii Walerjewicza Jaszyna] (skarżący).</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2. Skarżący byli reprezentowani odpowiednio przez p. O. Mikhaylovą i p. V. Prokhorova, prawników praktykujących w Moskwie. Rząd rosyjski („Rząd”) był reprezentowany przez p. G. Matyushkina, Przedstawiciela Federacji Rosyjskiej prz</w:t>
      </w:r>
      <w:r>
        <w:rPr>
          <w:rFonts w:ascii="Times New Roman" w:hAnsi="Times New Roman" w:cs="Times New Roman"/>
          <w:sz w:val="24"/>
          <w:szCs w:val="24"/>
          <w:lang w:val="pl-PL"/>
        </w:rPr>
        <w:t>ed</w:t>
      </w:r>
      <w:r w:rsidRPr="009C0834">
        <w:rPr>
          <w:rFonts w:ascii="Times New Roman" w:hAnsi="Times New Roman" w:cs="Times New Roman"/>
          <w:sz w:val="24"/>
          <w:szCs w:val="24"/>
          <w:lang w:val="pl-PL"/>
        </w:rPr>
        <w:t xml:space="preserve"> Europejskim Trybuna</w:t>
      </w:r>
      <w:r>
        <w:rPr>
          <w:rFonts w:ascii="Times New Roman" w:hAnsi="Times New Roman" w:cs="Times New Roman"/>
          <w:sz w:val="24"/>
          <w:szCs w:val="24"/>
          <w:lang w:val="pl-PL"/>
        </w:rPr>
        <w:t>łem</w:t>
      </w:r>
      <w:r w:rsidRPr="009C0834">
        <w:rPr>
          <w:rFonts w:ascii="Times New Roman" w:hAnsi="Times New Roman" w:cs="Times New Roman"/>
          <w:sz w:val="24"/>
          <w:szCs w:val="24"/>
          <w:lang w:val="pl-PL"/>
        </w:rPr>
        <w:t xml:space="preserve"> Praw Człowieka.</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3. Skarżący podnieśli, że zatrzymanie podczas demonstracji i późniejsz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 xml:space="preserve"> </w:t>
      </w:r>
      <w:r>
        <w:rPr>
          <w:rFonts w:ascii="Times New Roman" w:hAnsi="Times New Roman" w:cs="Times New Roman"/>
          <w:sz w:val="24"/>
          <w:szCs w:val="24"/>
          <w:lang w:val="pl-PL"/>
        </w:rPr>
        <w:t>pozbawienie wolności</w:t>
      </w:r>
      <w:r w:rsidRPr="009C0834">
        <w:rPr>
          <w:rFonts w:ascii="Times New Roman" w:hAnsi="Times New Roman" w:cs="Times New Roman"/>
          <w:sz w:val="24"/>
          <w:szCs w:val="24"/>
          <w:lang w:val="pl-PL"/>
        </w:rPr>
        <w:t xml:space="preserve"> naruszyły ich prawo do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w:t>
      </w:r>
      <w:r>
        <w:rPr>
          <w:rFonts w:ascii="Times New Roman" w:hAnsi="Times New Roman" w:cs="Times New Roman"/>
          <w:sz w:val="24"/>
          <w:szCs w:val="24"/>
          <w:lang w:val="pl-PL"/>
        </w:rPr>
        <w:t xml:space="preserve"> prawo do</w:t>
      </w:r>
      <w:r w:rsidRPr="009C0834">
        <w:rPr>
          <w:rFonts w:ascii="Times New Roman" w:hAnsi="Times New Roman" w:cs="Times New Roman"/>
          <w:sz w:val="24"/>
          <w:szCs w:val="24"/>
          <w:lang w:val="pl-PL"/>
        </w:rPr>
        <w:t xml:space="preserve"> wolności wyrażania opinii i </w:t>
      </w:r>
      <w:r>
        <w:rPr>
          <w:rFonts w:ascii="Times New Roman" w:hAnsi="Times New Roman" w:cs="Times New Roman"/>
          <w:sz w:val="24"/>
          <w:szCs w:val="24"/>
          <w:lang w:val="pl-PL"/>
        </w:rPr>
        <w:t xml:space="preserve">prawo do </w:t>
      </w:r>
      <w:r w:rsidRPr="009C0834">
        <w:rPr>
          <w:rFonts w:ascii="Times New Roman" w:hAnsi="Times New Roman" w:cs="Times New Roman"/>
          <w:sz w:val="24"/>
          <w:szCs w:val="24"/>
          <w:lang w:val="pl-PL"/>
        </w:rPr>
        <w:t>wolnoś</w:t>
      </w:r>
      <w:r>
        <w:rPr>
          <w:rFonts w:ascii="Times New Roman" w:hAnsi="Times New Roman" w:cs="Times New Roman"/>
          <w:sz w:val="24"/>
          <w:szCs w:val="24"/>
          <w:lang w:val="pl-PL"/>
        </w:rPr>
        <w:t>ci</w:t>
      </w:r>
      <w:r w:rsidRPr="009C0834">
        <w:rPr>
          <w:rFonts w:ascii="Times New Roman" w:hAnsi="Times New Roman" w:cs="Times New Roman"/>
          <w:sz w:val="24"/>
          <w:szCs w:val="24"/>
          <w:lang w:val="pl-PL"/>
        </w:rPr>
        <w:t>. Twierdzili, że postępowanie administracyjne przed sądami krajowymi nie gwarantowało sprawiedliwego rozpatrzenia sprawy. Wnieśli również skargę na fatalne warunki w areszcie, które ich zdaniem były nieludzkie i poniżające.</w:t>
      </w:r>
    </w:p>
    <w:p w:rsidR="00A52C5C" w:rsidRPr="00B025B2" w:rsidRDefault="00A52C5C" w:rsidP="00A500BE">
      <w:pPr>
        <w:pStyle w:val="Styl1"/>
        <w:rPr>
          <w:lang/>
        </w:rPr>
      </w:pPr>
      <w:r w:rsidRPr="009C0834">
        <w:rPr>
          <w:lang/>
        </w:rPr>
        <w:t>4. W dniu 8 lutego 2012 r. skarga została</w:t>
      </w:r>
      <w:r>
        <w:rPr>
          <w:lang/>
        </w:rPr>
        <w:t xml:space="preserve"> zakomunikowana</w:t>
      </w:r>
      <w:r w:rsidRPr="009C0834">
        <w:rPr>
          <w:lang/>
        </w:rPr>
        <w:t xml:space="preserve"> Rządowi.</w:t>
      </w:r>
    </w:p>
    <w:p w:rsidR="00A52C5C" w:rsidRPr="00B025B2" w:rsidRDefault="00A52C5C" w:rsidP="00A500BE">
      <w:pPr>
        <w:spacing w:after="0" w:line="240" w:lineRule="auto"/>
        <w:ind w:right="567"/>
        <w:jc w:val="both"/>
        <w:rPr>
          <w:sz w:val="14"/>
          <w:szCs w:val="14"/>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8"/>
          <w:szCs w:val="28"/>
          <w:lang w:val="pl-PL"/>
        </w:rPr>
      </w:pPr>
      <w:r w:rsidRPr="009C0834">
        <w:rPr>
          <w:rFonts w:ascii="Times New Roman" w:hAnsi="Times New Roman" w:cs="Times New Roman"/>
          <w:sz w:val="28"/>
          <w:szCs w:val="28"/>
          <w:lang w:val="pl-PL"/>
        </w:rPr>
        <w:t>FAKTY</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 OKOLICZNOŚCI SPRAWY</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pStyle w:val="Styl1"/>
        <w:rPr>
          <w:lang/>
        </w:rPr>
      </w:pPr>
      <w:r w:rsidRPr="009C0834">
        <w:rPr>
          <w:lang/>
        </w:rPr>
        <w:t>5. Skarżący urodzili się odpowiednio w 1976 r. i 1983 r. i mieszkają w Moskwie. Obaj skarżący są aktywistami politycznymi i liderami opozycji. Pierwszy z nich jest również znany ze swojej walki z korupcją i działalności blogerskiej. Drugi skarżący jest liderem ruchu politycznego „Solidarnost”.</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Default="00A52C5C" w:rsidP="00A500BE">
      <w:pPr>
        <w:spacing w:after="0" w:line="240" w:lineRule="auto"/>
        <w:ind w:left="828" w:right="567"/>
        <w:jc w:val="both"/>
        <w:rPr>
          <w:rFonts w:ascii="Times New Roman" w:hAnsi="Times New Roman" w:cs="Times New Roman"/>
          <w:b/>
          <w:bCs/>
          <w:sz w:val="24"/>
          <w:szCs w:val="24"/>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Demonstracja publiczna 5 grudnia 2011 r. i zatrzymanie skarżących</w:t>
      </w:r>
    </w:p>
    <w:p w:rsidR="00A52C5C" w:rsidRPr="00B025B2" w:rsidRDefault="00A52C5C" w:rsidP="00A500BE">
      <w:pPr>
        <w:spacing w:after="0" w:line="240" w:lineRule="auto"/>
        <w:ind w:left="1180" w:right="567"/>
        <w:jc w:val="both"/>
        <w:rPr>
          <w:rFonts w:ascii="Times New Roman" w:hAnsi="Times New Roman" w:cs="Times New Roman"/>
          <w:sz w:val="24"/>
          <w:szCs w:val="24"/>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6.</w:t>
      </w:r>
      <w:r>
        <w:rPr>
          <w:rFonts w:ascii="Times New Roman" w:hAnsi="Times New Roman" w:cs="Times New Roman"/>
          <w:sz w:val="24"/>
          <w:szCs w:val="24"/>
          <w:lang w:val="pl-PL"/>
        </w:rPr>
        <w:t xml:space="preserve"> W dniu</w:t>
      </w:r>
      <w:r w:rsidRPr="009C0834">
        <w:rPr>
          <w:rFonts w:ascii="Times New Roman" w:hAnsi="Times New Roman" w:cs="Times New Roman"/>
          <w:sz w:val="24"/>
          <w:szCs w:val="24"/>
          <w:lang w:val="pl-PL"/>
        </w:rPr>
        <w:t xml:space="preserve"> 4 grudnia 2011 r. w Rosji odbyły się powszechne wybory do Dumy Państwowej.</w:t>
      </w:r>
    </w:p>
    <w:p w:rsidR="00A52C5C" w:rsidRPr="00B025B2" w:rsidRDefault="00A52C5C" w:rsidP="00A500BE">
      <w:pPr>
        <w:pStyle w:val="Styl1"/>
        <w:rPr>
          <w:lang/>
        </w:rPr>
      </w:pPr>
      <w:r w:rsidRPr="009C0834">
        <w:rPr>
          <w:lang/>
        </w:rPr>
        <w:t xml:space="preserve">7. </w:t>
      </w:r>
      <w:r>
        <w:rPr>
          <w:lang/>
        </w:rPr>
        <w:t>W dniu</w:t>
      </w:r>
      <w:r w:rsidRPr="009C0834">
        <w:rPr>
          <w:lang/>
        </w:rPr>
        <w:t xml:space="preserve"> 5 grudnia 2011 r. skarżący wzięli udział w publicznej demonstracji (zebraniu) w miejscu Chistyye Prudy w Moskwie, aby zaprotestować przeciwko rzekomo sfałszowanym wyborom. Na demonstrację zgodę wyraził burmistrz Moskwy. Szacowano, że w zebraniu wzięło udział między 5 a 10 tys. osób. Podczas zebrania prowadzonego przez drugiego skarżącego, pierwszy skarżący wygłosił do uczestników przemówienie, w którym wezwał do </w:t>
      </w:r>
      <w:r>
        <w:rPr>
          <w:lang/>
        </w:rPr>
        <w:t>nowych</w:t>
      </w:r>
      <w:r w:rsidRPr="009C0834">
        <w:rPr>
          <w:lang/>
        </w:rPr>
        <w:t>, uczciwych wyborów i nazwał Jedną Rosję – faworyta wyborów – „partią oszustów i złodziei”.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8. Po demonstracji skarżący zostali zatrzymani. Strony nie doszły do porozumienia co do okoliczności zatrzymania. Ich oświadczenia w tej sprawie podsumowano poniżej.</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9. Skarżący twierdzili, że na koniec zebrania udali się wraz z innymi osobami w kierunku stacji metra Kuznetskiy Most, gdzie pierwszy skarżący zostawił swój samochód. Szli chodnikiem, nie zakłócając ruchu na drodze. Nagle droga została zablokowana przez oddziały prewencji (</w:t>
      </w:r>
      <w:r>
        <w:rPr>
          <w:rFonts w:ascii="Times New Roman" w:hAnsi="Times New Roman" w:cs="Times New Roman"/>
          <w:i/>
          <w:iCs/>
          <w:sz w:val="24"/>
          <w:szCs w:val="24"/>
        </w:rPr>
        <w:t>сотрудники</w:t>
      </w:r>
      <w:r w:rsidRPr="009C0834">
        <w:rPr>
          <w:rFonts w:ascii="Times New Roman" w:hAnsi="Times New Roman" w:cs="Times New Roman"/>
          <w:i/>
          <w:iCs/>
          <w:sz w:val="24"/>
          <w:szCs w:val="24"/>
          <w:lang w:val="pl-PL"/>
        </w:rPr>
        <w:t xml:space="preserve"> </w:t>
      </w:r>
      <w:r>
        <w:rPr>
          <w:rFonts w:ascii="Times New Roman" w:hAnsi="Times New Roman" w:cs="Times New Roman"/>
          <w:i/>
          <w:iCs/>
          <w:sz w:val="24"/>
          <w:szCs w:val="24"/>
        </w:rPr>
        <w:t>внутренних</w:t>
      </w:r>
      <w:r w:rsidRPr="009C0834">
        <w:rPr>
          <w:rFonts w:ascii="Times New Roman" w:hAnsi="Times New Roman" w:cs="Times New Roman"/>
          <w:i/>
          <w:iCs/>
          <w:sz w:val="24"/>
          <w:szCs w:val="24"/>
          <w:lang w:val="pl-PL"/>
        </w:rPr>
        <w:t xml:space="preserve"> </w:t>
      </w:r>
      <w:r>
        <w:rPr>
          <w:rFonts w:ascii="Times New Roman" w:hAnsi="Times New Roman" w:cs="Times New Roman"/>
          <w:i/>
          <w:iCs/>
          <w:sz w:val="24"/>
          <w:szCs w:val="24"/>
        </w:rPr>
        <w:t>войск</w:t>
      </w:r>
      <w:r w:rsidRPr="009C0834">
        <w:rPr>
          <w:rFonts w:ascii="Times New Roman" w:hAnsi="Times New Roman" w:cs="Times New Roman"/>
          <w:i/>
          <w:iCs/>
          <w:sz w:val="24"/>
          <w:szCs w:val="24"/>
          <w:lang w:val="pl-PL"/>
        </w:rPr>
        <w:t xml:space="preserve"> </w:t>
      </w:r>
      <w:r>
        <w:rPr>
          <w:rFonts w:ascii="Times New Roman" w:hAnsi="Times New Roman" w:cs="Times New Roman"/>
          <w:i/>
          <w:iCs/>
          <w:sz w:val="24"/>
          <w:szCs w:val="24"/>
        </w:rPr>
        <w:t>и</w:t>
      </w:r>
      <w:r w:rsidRPr="009C0834">
        <w:rPr>
          <w:rFonts w:ascii="Times New Roman" w:hAnsi="Times New Roman" w:cs="Times New Roman"/>
          <w:i/>
          <w:iCs/>
          <w:sz w:val="24"/>
          <w:szCs w:val="24"/>
          <w:lang w:val="pl-PL"/>
        </w:rPr>
        <w:t xml:space="preserve"> OMO</w:t>
      </w:r>
      <w:r>
        <w:rPr>
          <w:rFonts w:ascii="Times New Roman" w:hAnsi="Times New Roman" w:cs="Times New Roman"/>
          <w:i/>
          <w:iCs/>
          <w:sz w:val="24"/>
          <w:szCs w:val="24"/>
        </w:rPr>
        <w:t>Н</w:t>
      </w:r>
      <w:r w:rsidRPr="009C0834">
        <w:rPr>
          <w:rFonts w:ascii="Times New Roman" w:hAnsi="Times New Roman" w:cs="Times New Roman"/>
          <w:i/>
          <w:iCs/>
          <w:sz w:val="24"/>
          <w:szCs w:val="24"/>
          <w:lang w:val="pl-PL"/>
        </w:rPr>
        <w:t>).</w:t>
      </w:r>
      <w:r w:rsidRPr="009C0834">
        <w:rPr>
          <w:rFonts w:ascii="Times New Roman" w:hAnsi="Times New Roman" w:cs="Times New Roman"/>
          <w:sz w:val="24"/>
          <w:szCs w:val="24"/>
          <w:lang w:val="pl-PL"/>
        </w:rPr>
        <w:t xml:space="preserve"> Bez żadnego wstępu czy wezwania, policja otoczyła grupę około setki protestujących, w tym skarżących, przyciskając ich do budynku. Otoczona grupa skandowała: „Jeden za wszystkich, wszyscy za jednego!” Następnie policja zaczęła zatrzymywać protestujących. Według skarżących nikt nie stawiał oporu. Grupa wykonywała polecenia policji i udała się z nimi do policyjnego busa.</w:t>
      </w:r>
    </w:p>
    <w:p w:rsidR="00A52C5C" w:rsidRDefault="00A52C5C" w:rsidP="00660BB9">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 Według Rządu</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na koniec zebrania drugi skarżący wezwał uczestników do marszu ul. Myasnitskayą do placu Lubyanskaya, a potem do biura Centralnej Komisji Wyborczej. O godz. 20.30 około sześćdziesięciu osób, w tym skarżący, wyruszyli bulwarem Chistoprudnyy, ul. Bolshaya Lubyanka i ul. Rozhdestvenka. Szli drogą, utrudniając ruch i skandując hasła takie jak „To nasze miasto!” czy „Precz z państwem policyjnym!”</w:t>
      </w:r>
    </w:p>
    <w:p w:rsidR="00A52C5C" w:rsidRPr="00B025B2" w:rsidRDefault="00A52C5C" w:rsidP="00660BB9">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Na skrzyżowaniu ul. Pushecznaya i Rozhdestvenka policja zablokowała marsz i poleciła maszerującym zatrzymać się. Uczestnicy marszu przepchnęli się przez kordon policji i kontynuowali marsz do chwili, kiedy zostali ponownie zatrzymani przez policję przy Teatralnyy Proyezd 2. Zignorowali powtarzane przez policję wezwania do zatrzymania się, uniemożliwiając w ten sposób policji wykonanie zadania polegającego na zabezpieczeniu porządku publicznego. W obliczu nieustępliwego zachowania policja zatrzymała skarżących.</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 Obydwaj skarżący zostali zatrzymani ok. godz. 20.45 i zostali zabrani do policyjnego busa.</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1180" w:right="567" w:hanging="352"/>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B. Przewożenie ska</w:t>
      </w:r>
      <w:r>
        <w:rPr>
          <w:rFonts w:ascii="Times New Roman" w:hAnsi="Times New Roman" w:cs="Times New Roman"/>
          <w:b/>
          <w:bCs/>
          <w:sz w:val="24"/>
          <w:szCs w:val="24"/>
          <w:lang w:val="pl-PL"/>
        </w:rPr>
        <w:t xml:space="preserve">rżących między komendami </w:t>
      </w:r>
      <w:r w:rsidRPr="00BF140B">
        <w:rPr>
          <w:rFonts w:ascii="Times New Roman" w:hAnsi="Times New Roman" w:cs="Times New Roman"/>
          <w:b/>
          <w:bCs/>
          <w:sz w:val="24"/>
          <w:szCs w:val="24"/>
          <w:lang w:val="pl-PL"/>
        </w:rPr>
        <w:t>i nocne aresztowanie</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 Ok. godz. 21.40 skarżący zostali zabrani na Komendę Rejonową Policji Severnoye Izmaylovo w Moskwie. O godz. 23.40 przeprowadzono kontrolę osobistą pierwszego skarżącego, która trwała do godz. 00.15. Zatrzymano jego rzeczy osobiste, w tym telefon komórkowy, legitymację adwokata, zegarek, pieniądze, karty kredytowe, prawo jazdy i kilka sztuk ubrań. Dokonano również kontroli osobistej drugiego skarżącego i zatrzymano jego telefon komórkowy, pasek, zegarek, gwizdek i plakietkę „Przeciwko partii oszustów i złodziei”. Listę zatrzymanych przedmiotów udokumentowano w protokole z kontroli osobistej. Skarżący nie mogli ich odzyskać, chociaż przedmioty te nie zostały załączone do akt sprawy.</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13. Skarżący poprosili, aby mogli zobaczyć się ze swoimi prawnikami, którzy przybyli na komendę policji i przedstawili swoje umocowanie, ale prośby te zostały odrzucone. Skarżący nie mogli również wykonać telefonu do swoich rodzin.</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14. Obydwaj skarżący wnieśli skargi na komendzie policji, twierdząc, że w chwili zatrzymania i późniejszego </w:t>
      </w:r>
      <w:r w:rsidRPr="00BF140B">
        <w:rPr>
          <w:rFonts w:ascii="Times New Roman" w:hAnsi="Times New Roman" w:cs="Times New Roman"/>
          <w:sz w:val="24"/>
          <w:szCs w:val="24"/>
          <w:lang w:val="pl-PL"/>
        </w:rPr>
        <w:t>aresztowania</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na komendzie ich prawa zostały naruszone.</w:t>
      </w:r>
    </w:p>
    <w:p w:rsidR="00A52C5C" w:rsidRPr="00B025B2" w:rsidRDefault="00A52C5C" w:rsidP="00A500BE">
      <w:pPr>
        <w:pStyle w:val="Styl1"/>
        <w:rPr>
          <w:lang/>
        </w:rPr>
      </w:pPr>
      <w:r w:rsidRPr="009C0834">
        <w:rPr>
          <w:lang/>
        </w:rPr>
        <w:t xml:space="preserve">15. Ok. godz. 00.45 </w:t>
      </w:r>
      <w:r>
        <w:rPr>
          <w:lang/>
        </w:rPr>
        <w:t xml:space="preserve">dnia </w:t>
      </w:r>
      <w:r w:rsidRPr="009C0834">
        <w:rPr>
          <w:lang/>
        </w:rPr>
        <w:t>6 grudnia 2011 r. skarżący zostali przewiezieni z komendy policji Severnoye Izmaylovo na Komendę Rejonową Policji Vostochnyy w Moskwie, gdzie przybyli ok. 1.45 tego samego dnia. Poprosili o widzenie z prawnikiem i możliwość wykonania telefonu, ale znowu otrzymali odpowiedź odmowną. Pierwszy skarżący wniósł skargę dotyczącą tej odmowy.</w:t>
      </w:r>
    </w:p>
    <w:p w:rsidR="00A52C5C" w:rsidRPr="00B025B2" w:rsidRDefault="00A52C5C" w:rsidP="00A500BE">
      <w:pPr>
        <w:pStyle w:val="Styl1"/>
        <w:rPr>
          <w:lang/>
        </w:rPr>
      </w:pPr>
      <w:r w:rsidRPr="009C0834">
        <w:rPr>
          <w:lang/>
        </w:rPr>
        <w:t xml:space="preserve">16. O godz. 2.30 tej samej nocy skarżący zostali doprowadzeni na Komendę Rejonową Policji Kitay-Gorod, gdzie sporządzono raporty policyjne wskazujące, że skarżący zostali doprowadzeni na komendę zgodnie z art. 27.2 Kodeksu wykroczeń administracyjnych. O godz. 2.40 sporządzono kolejne raporty policyjne, w których postanowiono o </w:t>
      </w:r>
      <w:r>
        <w:rPr>
          <w:lang/>
        </w:rPr>
        <w:t xml:space="preserve">tymczasowym </w:t>
      </w:r>
      <w:r w:rsidRPr="0059763A">
        <w:rPr>
          <w:lang/>
        </w:rPr>
        <w:t>aresztowaniu</w:t>
      </w:r>
      <w:r w:rsidRPr="009C0834">
        <w:rPr>
          <w:lang/>
        </w:rPr>
        <w:t xml:space="preserve"> skarżących na podstawie art. 27.3 Kodeksu wkroczeń administracyjnych. Skarżący zostali oskarżeni o wykroczenie administracyjne w związku z niezastosowaniem się do zgodnego z prawem polecenia policji naruszającego art. 19.3 Kodeksu wkroczeń administracyjnych.</w:t>
      </w:r>
    </w:p>
    <w:p w:rsidR="00A52C5C" w:rsidRPr="00B025B2" w:rsidRDefault="00A52C5C" w:rsidP="00660BB9">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Zarzuty oparto na identycznych zeznaniach dwóch funkcjonariuszy policji – I. i F. – którzy twierdzili, że polecili skarżącym udać się z nimi do policyjnego busa w celu złożenia zeznań w sprawie wykroczenia administracyjnego, ale skarżący odepchnęli ich i dlatego zostali zatrzymani.</w:t>
      </w:r>
    </w:p>
    <w:p w:rsidR="00A52C5C" w:rsidRPr="00B025B2" w:rsidRDefault="00A52C5C" w:rsidP="00A500BE">
      <w:pPr>
        <w:pStyle w:val="Styl1"/>
        <w:rPr>
          <w:lang/>
        </w:rPr>
      </w:pPr>
      <w:r w:rsidRPr="009C0834">
        <w:rPr>
          <w:lang/>
        </w:rPr>
        <w:t>17. Na komendzie w Kitay-Gorodzie skarżący poprosili o pozwolenie na widzenie z prawnikami oraz wykonanie telefonu do rodzin, ale otrzymali odpowiedź odmowną.</w:t>
      </w:r>
    </w:p>
    <w:p w:rsidR="00A52C5C" w:rsidRPr="00B025B2" w:rsidRDefault="00A52C5C" w:rsidP="00A500BE">
      <w:pPr>
        <w:pStyle w:val="Styl1"/>
        <w:rPr>
          <w:lang/>
        </w:rPr>
      </w:pPr>
      <w:r w:rsidRPr="009C0834">
        <w:rPr>
          <w:lang/>
        </w:rPr>
        <w:t>18. Pierwszego skarżącego zatrzymano na komendzie do godz. 15</w:t>
      </w:r>
      <w:r>
        <w:rPr>
          <w:lang/>
        </w:rPr>
        <w:t xml:space="preserve"> dnia </w:t>
      </w:r>
      <w:r w:rsidRPr="009C0834">
        <w:rPr>
          <w:lang/>
        </w:rPr>
        <w:t>6 grudnia 2011 r., a drugiego do godz. 10 tego dnia.</w:t>
      </w:r>
    </w:p>
    <w:p w:rsidR="00A52C5C" w:rsidRPr="00B025B2" w:rsidRDefault="00A52C5C" w:rsidP="00A500BE">
      <w:pPr>
        <w:pStyle w:val="Styl1"/>
        <w:rPr>
          <w:lang/>
        </w:rPr>
      </w:pPr>
      <w:r w:rsidRPr="009C0834">
        <w:rPr>
          <w:lang/>
        </w:rPr>
        <w:t xml:space="preserve">19. Skarżący podnieśli, że warunki </w:t>
      </w:r>
      <w:r>
        <w:rPr>
          <w:lang/>
        </w:rPr>
        <w:t>pozbawienia wolności</w:t>
      </w:r>
      <w:r w:rsidRPr="009C0834">
        <w:rPr>
          <w:lang/>
        </w:rPr>
        <w:t xml:space="preserve"> w czasie przewożenia ich między komendami oraz w celi na komendzie w Kitay-Gorodzie były nieludzkie i poniżające. W szczególności twierdzili, że przez sześć godzin byli przewożeni pomiędzy różnymi komendami, nie otrzymawszy jedzenia ani wody do picia. Na komendzie w Kitay-Gorodzie zostali umieszczeni razem w celi o powierzchni ok. 6 m</w:t>
      </w:r>
      <w:r w:rsidRPr="009C0834">
        <w:rPr>
          <w:vertAlign w:val="superscript"/>
          <w:lang/>
        </w:rPr>
        <w:t>2</w:t>
      </w:r>
      <w:r w:rsidRPr="009C0834">
        <w:rPr>
          <w:lang/>
        </w:rPr>
        <w:t xml:space="preserve"> z betonowymi ścianami, metalowymi kratami, betonową podłogą, bez okien i mebli z wyjątkiem dwóch wąskich drewnianych ław. Cela była słabo oświetlona i nie było wentylacji. Nie było urządzeń sanitarnych, łóżek ani pościeli. Skarżący nie otrzymali jedzenia ani wody aż do 6 grudnia 2011 r., kiedy pozwolono im odebrać paczki od rodzin zawierające wodę pitną i krakersy. Nie pozwolono na przekazanie innego jedzenia.</w:t>
      </w:r>
    </w:p>
    <w:p w:rsidR="00A52C5C" w:rsidRPr="00B025B2" w:rsidRDefault="00A52C5C" w:rsidP="00A500BE">
      <w:pPr>
        <w:pStyle w:val="Styl1"/>
        <w:rPr>
          <w:lang/>
        </w:rPr>
      </w:pPr>
      <w:r w:rsidRPr="009C0834">
        <w:rPr>
          <w:lang/>
        </w:rPr>
        <w:t>20. Rząd twierdził, że przewóz skarżących do Komendy Rejonowej Policji Vostochnyy trwał około godziny, a na komendę w Kitay-Gorodzie około czterdziestu pięciu minut, czyli zbyt krótko, aby wymagane było zapewnienie posiłków. Według Rządu na komendzie w Kitay-Gorodzie skarżący byli przetrzymywani w celi o powierzchni 12,3 m</w:t>
      </w:r>
      <w:r w:rsidRPr="009C0834">
        <w:rPr>
          <w:vertAlign w:val="superscript"/>
          <w:lang/>
        </w:rPr>
        <w:t xml:space="preserve">2 </w:t>
      </w:r>
      <w:r w:rsidRPr="009C0834">
        <w:rPr>
          <w:lang/>
        </w:rPr>
        <w:t xml:space="preserve">wyposażonej w sztuczne oświetlenie i wymuszoną wentylację. Twierdził, że skarżącym zapewniono miejsce do spania – drewnianą ławę – oraz pościel, której przyjęcia odmówili. Przedstawił fotografię celi z metalową kratą, fotografię ławy z bliska wraz z miarką pokazującą szerokość ławy - 47 cm - oraz inne zdjęcie pokazujące tę samą ławę przykrytą kocem oraz z położoną na nim poduszką. Rząd twierdził także, że zgodnie z umową o świadczenie usług sprzątania pomiędzy Ministerstwem Spraw Wewnętrznych a prywatną firmą cele miały być sprzątane i dezynfekowane dwa razy dziennie, raz na trzy miesiące miało być przeprowadzane zwalczanie szkodników. Na poparcie tego twierdzenia Rząd przedstawił kopię umowy o świadczenie usług. Utrzymywał, że skarżący nie zgłaszali zastrzeżeń co do warunków </w:t>
      </w:r>
      <w:r>
        <w:rPr>
          <w:lang/>
        </w:rPr>
        <w:t>pozbawienia wolności</w:t>
      </w:r>
      <w:r w:rsidRPr="009C0834">
        <w:rPr>
          <w:lang/>
        </w:rPr>
        <w:t>. Zdaniem Rządu skarżącym zaproponowano jedzenie na komendzie policji w Kitay-Gorodzie, ale odmówili.</w:t>
      </w:r>
    </w:p>
    <w:p w:rsidR="00A52C5C" w:rsidRDefault="00A52C5C" w:rsidP="00A500BE">
      <w:pPr>
        <w:spacing w:after="0" w:line="240" w:lineRule="auto"/>
        <w:ind w:right="567"/>
        <w:jc w:val="both"/>
        <w:rPr>
          <w:sz w:val="14"/>
          <w:szCs w:val="14"/>
          <w:lang w:val="pl-PL"/>
        </w:rPr>
      </w:pPr>
    </w:p>
    <w:p w:rsidR="00A52C5C" w:rsidRDefault="00A52C5C" w:rsidP="00A500BE">
      <w:pPr>
        <w:spacing w:after="0" w:line="240" w:lineRule="auto"/>
        <w:ind w:right="567"/>
        <w:jc w:val="both"/>
        <w:rPr>
          <w:sz w:val="14"/>
          <w:szCs w:val="14"/>
          <w:lang w:val="pl-PL"/>
        </w:rPr>
      </w:pPr>
    </w:p>
    <w:p w:rsidR="00A52C5C" w:rsidRPr="00B025B2" w:rsidRDefault="00A52C5C" w:rsidP="00A500BE">
      <w:pPr>
        <w:spacing w:after="0" w:line="240" w:lineRule="auto"/>
        <w:ind w:right="567"/>
        <w:jc w:val="both"/>
        <w:rPr>
          <w:sz w:val="14"/>
          <w:szCs w:val="14"/>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C. Postępowanie administracyjne</w:t>
      </w:r>
    </w:p>
    <w:p w:rsidR="00A52C5C" w:rsidRPr="00B025B2" w:rsidRDefault="00A52C5C" w:rsidP="00A500BE">
      <w:pPr>
        <w:spacing w:after="0" w:line="240" w:lineRule="auto"/>
        <w:ind w:right="567"/>
        <w:jc w:val="both"/>
        <w:rPr>
          <w:lang w:val="pl-PL"/>
        </w:rPr>
      </w:pPr>
    </w:p>
    <w:p w:rsidR="00A52C5C" w:rsidRPr="00B025B2" w:rsidRDefault="00A52C5C" w:rsidP="00A500BE">
      <w:pPr>
        <w:pStyle w:val="Styl1"/>
        <w:rPr>
          <w:lang/>
        </w:rPr>
      </w:pPr>
      <w:r w:rsidRPr="009C0834">
        <w:rPr>
          <w:lang/>
        </w:rPr>
        <w:t xml:space="preserve">21. </w:t>
      </w:r>
      <w:r>
        <w:rPr>
          <w:lang/>
        </w:rPr>
        <w:t>W dniu</w:t>
      </w:r>
      <w:r w:rsidRPr="009C0834">
        <w:rPr>
          <w:lang/>
        </w:rPr>
        <w:t xml:space="preserve"> 6 grudnia 2011 </w:t>
      </w:r>
      <w:r>
        <w:rPr>
          <w:lang/>
        </w:rPr>
        <w:t xml:space="preserve">r. </w:t>
      </w:r>
      <w:r w:rsidRPr="009C0834">
        <w:rPr>
          <w:lang/>
        </w:rPr>
        <w:t>skarżący zostali doprowadzeni do Sądu Pokoju w celu rozparzenia postawionych im zarzutów w postępowaniu administracyjnym. Spotkali się ze swoimi pełnomocnikami po raz pierwszy na krótko przed rozprawą. Najpierw rozpatrzono sprawę drugiego skarżącego, a potem pierwszego.</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1. Rozpatrywanie sprawy administracyjnej przeciwko p. Yashinowi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22. Sprawa administracyjna została rozpatrzona przez pełniącą obowiązki Sędziego Pokoju dla Okręgu nr 370 rejonu Tverskoy w Moskwie p. B. Na początku rozprawy drugi skarżący przedstawił wniosek o wyłączenie sędzi, ponieważ wcześniej uznała go za winnego popełnienia innego wykroczenia administracyjnego i skazała go na pięć dni aresztu administracyjnego. Po tym skazaniu drugi skarżący wniósł wiele skarg na p. B. i prowadził kampanię przeciwko niej na swoich blogach internetowych. Sędzia Pokoju oddaliła wniosek o wyłączenie jej z postępowania.</w:t>
      </w:r>
    </w:p>
    <w:p w:rsidR="00A52C5C" w:rsidRPr="00B025B2" w:rsidRDefault="00A52C5C" w:rsidP="00A500BE">
      <w:pPr>
        <w:pStyle w:val="Styl1"/>
        <w:rPr>
          <w:lang/>
        </w:rPr>
      </w:pPr>
      <w:r w:rsidRPr="009C0834">
        <w:rPr>
          <w:lang/>
        </w:rPr>
        <w:t>23. Drugi skarżący wniósł o zgodę na wezwanie i przesłuchanie pięciu świadków, w tym I. i F. – funkcjonariuszy policji, którzy sporządzili raporty z zatrzymania, K. – dyżurnego na komendzie w Kitay-Gorodzie, p. B. – innego aktywisty oraz pierwszego skarżącego. Wniosek został przyjęty w odniesieniu do I., F. i B.</w:t>
      </w:r>
    </w:p>
    <w:p w:rsidR="00A52C5C" w:rsidRPr="00B025B2" w:rsidRDefault="00A52C5C" w:rsidP="00A500BE">
      <w:pPr>
        <w:pStyle w:val="Styl1"/>
        <w:rPr>
          <w:lang/>
        </w:rPr>
      </w:pPr>
      <w:r w:rsidRPr="009C0834">
        <w:rPr>
          <w:lang/>
        </w:rPr>
        <w:t xml:space="preserve">24. Drugi skarżący złożył skargę dotyczącą </w:t>
      </w:r>
      <w:r w:rsidRPr="00BF140B">
        <w:rPr>
          <w:lang/>
        </w:rPr>
        <w:t>bezprawnego pozbawienia wolności</w:t>
      </w:r>
      <w:r>
        <w:rPr>
          <w:lang/>
        </w:rPr>
        <w:t xml:space="preserve"> </w:t>
      </w:r>
      <w:r w:rsidRPr="009C0834">
        <w:rPr>
          <w:lang/>
        </w:rPr>
        <w:t xml:space="preserve">przez pierwsze sześć godzin po zatrzymaniu, złych warunków </w:t>
      </w:r>
      <w:r>
        <w:rPr>
          <w:lang/>
        </w:rPr>
        <w:t>pozbawienia wolności</w:t>
      </w:r>
      <w:r w:rsidRPr="009C0834">
        <w:rPr>
          <w:lang/>
        </w:rPr>
        <w:t xml:space="preserve"> na komendzie policji w Kitay-Gorodzie oraz czynów i zaniedbań urzędników na komendzie policji w Severnoye Izmaylovo. Jednak skargi te nie zostały rozpatrzone.</w:t>
      </w:r>
    </w:p>
    <w:p w:rsidR="00A52C5C" w:rsidRPr="00B025B2" w:rsidRDefault="00A52C5C" w:rsidP="00A500BE">
      <w:pPr>
        <w:pStyle w:val="Styl1"/>
        <w:rPr>
          <w:lang/>
        </w:rPr>
      </w:pPr>
      <w:r w:rsidRPr="009C0834">
        <w:rPr>
          <w:lang/>
        </w:rPr>
        <w:t>25. Sąd Pokoju przesłuchał świadków. Funkcjonariusze policji I. i F. twierdzili, że po zebraniu publicznym skarżący wziął udział razem z ok. sześćdziesięcioma osobami w nielegalnym marszu z bulwaru Chistoprudnyy przez ul. Bolshaya Lubyanka, ul. Kuznetskiy Most oraz ul. Rozhdestvenka. Uczestnicy marszu utrudniali ruch, skandowali hasła i ignorowali polecenia zaprzestania marszu wydawane przez policję przez megafon. I. i F. polecili drugiemu skarżącemu, aby ten udał się za nimi do policyjnego busa w celu sporządzenia raportu w sprawie wykroczenia administracyjnego, ale skarżący zignorował polecenie, więc policjanci chwycili go za ramiona. Skarżący stawiał opór, nie chciał pokazać swoich dokumentów i krzyczał do tłumu.</w:t>
      </w:r>
    </w:p>
    <w:p w:rsidR="00A52C5C" w:rsidRPr="00B025B2" w:rsidRDefault="00A52C5C" w:rsidP="00A500BE">
      <w:pPr>
        <w:pStyle w:val="Styl1"/>
        <w:rPr>
          <w:lang/>
        </w:rPr>
      </w:pPr>
      <w:r w:rsidRPr="009C0834">
        <w:rPr>
          <w:lang/>
        </w:rPr>
        <w:t>26. Drugi skarżący nie przyznał się do winy i zakwestionował zeznania funkcjonariuszy policji. Zeznał, że został zatrzymany pod wskazanym adresem, kiedy wracał pieszo wraz z innymi osobami z legalnego zebrania. Podkreślał, że został zatrzymany bez ostrzeżenia czy poleceń ze strony policji.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27. Świadek B. zeznał, że „był obecny w czasie zatrzymania p. Yashina” oraz że „policjanci nie wydawali p. Yashinowi żadnych poleceń przed zatrzymaniem”.</w:t>
      </w:r>
    </w:p>
    <w:p w:rsidR="00A52C5C" w:rsidRPr="00B025B2" w:rsidRDefault="00A52C5C" w:rsidP="00A500BE">
      <w:pPr>
        <w:pStyle w:val="Styl1"/>
        <w:rPr>
          <w:lang/>
        </w:rPr>
      </w:pPr>
      <w:r w:rsidRPr="009C0834">
        <w:rPr>
          <w:lang/>
        </w:rPr>
        <w:t>28. W tym samym dniu Sąd Pokoju uznał drugiego skarżącego winnym niezastosowania się do zgodnego z prawem polecenia policji. Oparł swoje orzeczenie na zeznaniach świadków I. i F., ich pisemnych raportach oraz protokole z zatrzymania administracyjnego. Odrzucił zeznania drugiego skarżącego oraz B. ze względu na ich sprzeczność z zeznaniami i raportami funkcjonariuszy policji. Drugi skarżący został uznany za winnego naruszenia art. 19.3 Kodeksu wykroczeń administracyjnych i skazany na piętnaście dni aresztu administracyjnego.</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987"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2. Rozpatrywanie sprawy administracyjnej przeciwko p. Navalnemu</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29. Sprawa pierwszego skarżącego została rozpatrzona po procesie drugiego skarżącego przez tę samą Sędzię Pokoju – p. B. W przerwie pomiędzy dwiema rozprawami pełnomocnik pierwszego skarżącego mógł krótko zapoznać się z aktami sprawy drugiego skarżącego i po raz pierwszy spotkać się z pierwszym skarżącym.</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30. Zdaniem skarżących postępowanie w sprawie pierwszego skarżącego rozpoczęło się bez udziału publiczności, której członkom nie pozwolono wejść na salę rozpraw. Wielu z nich nie miało wstępu do budynku sądu, który został otoczony przez policję. Na późniejszym etapie postępowania na usilne prośby pierwszego skarżącego wpuszczono ośmiu dziennikarzy. Rząd twierdził natomiast, że postępowanie w tej sprawie było jawne.</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31. Na początku procesu pierwszy skarżący wniósł o przekazanie sprawy zgodnie z przepisami ustawy do sądu właściwego dla jego miejsca zamieszkania, o odroczenie rozprawy w celu umożliwienia mu przygotowania obrony, o upublicznienie pełnego protokołu z rozprawy, o udostępnienie mu kopii skarg wniesionych na komendach policji poprzedniej nocy oraz wezwania i przesłuchania pięciu naocznych świadków jego zatrzymania, w tym drugiego skarżącego.</w:t>
      </w:r>
    </w:p>
    <w:p w:rsidR="00A52C5C" w:rsidRPr="00B025B2" w:rsidRDefault="00A52C5C" w:rsidP="00A500BE">
      <w:pPr>
        <w:pStyle w:val="Styl1"/>
        <w:rPr>
          <w:lang/>
        </w:rPr>
      </w:pPr>
      <w:r w:rsidRPr="009C0834">
        <w:rPr>
          <w:lang/>
        </w:rPr>
        <w:t>32. Sąd Pokoju oddalił wszystkie wnioski z wyjątkiem wniosku o wezwanie T. i A. w charakterze świadków. Pierwszy skarżący wniósł o wyłączenie Sędzi Pokoju z postępowania, jednak wniosek ten został oddalony.</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33. I. i F. złożyli zeznania identyczne z zeznaniami złożonymi w sprawie drugiego skarżącego. Sąd Pokoju oddalił następujące pytania obrony do I. i F.: „Jakie polecenia wydałeś osobiście p. Navalnemu?”, „Kto wydał rozkaz zatrzymania p. Navalnego?” oraz „Dlaczego dwa raporty policyjne były identyczne?”</w:t>
      </w:r>
    </w:p>
    <w:p w:rsidR="00A52C5C" w:rsidRPr="00B025B2" w:rsidRDefault="00A52C5C" w:rsidP="005439E2">
      <w:pPr>
        <w:pStyle w:val="Styl1"/>
        <w:rPr>
          <w:lang/>
        </w:rPr>
      </w:pPr>
      <w:r w:rsidRPr="009C0834">
        <w:rPr>
          <w:lang/>
        </w:rPr>
        <w:t>34. Pierwszy skarżący nie przyznał się do winy i zakwestionował zeznania funkcjonariuszy policji. Zeznał, że został zatrzymany, kiedy wracał pieszo wraz z innymi osobami z legalnego zebrania, a nie maszerował czy skandował hasła. Jednak policja kilkakrotnie blokowała im drogę, a następnie ich zatrzymała.</w:t>
      </w:r>
      <w:r>
        <w:rPr>
          <w:lang/>
        </w:rPr>
        <w:t xml:space="preserve"> </w:t>
      </w:r>
      <w:r w:rsidRPr="009C0834">
        <w:rPr>
          <w:lang/>
        </w:rPr>
        <w:t>Podkreślał, że nie otrzymał żadnych poleceń ze strony policji i nie stawiał oporu przy zatrzymaniu.</w:t>
      </w:r>
    </w:p>
    <w:p w:rsidR="00A52C5C" w:rsidRPr="00B025B2" w:rsidRDefault="00A52C5C" w:rsidP="00A500BE">
      <w:pPr>
        <w:pStyle w:val="Styl1"/>
        <w:rPr>
          <w:lang/>
        </w:rPr>
      </w:pPr>
      <w:r w:rsidRPr="009C0834">
        <w:rPr>
          <w:lang/>
        </w:rPr>
        <w:t>35. Świadek T. zeznał, że widział zatrzymanie skarżącego. Było głośno i nie słyszał, aby funkcjonariusze policji przed zatrzymaniem wydawali polecenia pierwszemu skarżącemu. Policja informowała przez megafon „Wasze działania są bezprawne”, kiedy otaczała grupę ludzi, a następnie zaczęła zatrzymywać jej członków. Nie widział, aby pierwszy skarżący stawiał opór podczas zatrzymania. Świadek A. zeznał, że szedł Teatralnym Proyezdem i widział ludzi w mundurach zatrzymujących pierwszego skarżącego na chodniku; w czasie zatrzymania policja informowała przez megafon: „Wasze działania są bezprawne”; świadek A. nie widział, aby pierwszy skarżący stawiał opór policji w czasie zatrzymania.</w:t>
      </w:r>
    </w:p>
    <w:p w:rsidR="00A52C5C" w:rsidRPr="00B025B2" w:rsidRDefault="00A52C5C" w:rsidP="00A500BE">
      <w:pPr>
        <w:pStyle w:val="Styl1"/>
        <w:rPr>
          <w:lang/>
        </w:rPr>
      </w:pPr>
      <w:r w:rsidRPr="009C0834">
        <w:rPr>
          <w:lang/>
        </w:rPr>
        <w:t>36. Pierwszy skarżący wnioskował o dopuszczenie jako dowodów dwóch nagrań wideo z jego zatrzymania nakręconych przez T. i A. Wniósł także, aby sąd uzyskał i zapoznał się z nagraniem wideo, którym dysponowała policja. Wnioski te zostały odrzucone, ponieważ sąd nie posiadał środków technicznych umożliwiających odtworzenie nagrań, a niedopuszczalne było wykorzystanie urządzeń zapewnionych przez obronę. Wnioski te nie zostały włączone do akt sprawy, ponieważ zostały złożone na nieodpowiednim etapie postępowania.</w:t>
      </w:r>
    </w:p>
    <w:p w:rsidR="00A52C5C" w:rsidRPr="00B025B2" w:rsidRDefault="00A52C5C" w:rsidP="00A500BE">
      <w:pPr>
        <w:pStyle w:val="Styl1"/>
        <w:rPr>
          <w:lang/>
        </w:rPr>
      </w:pPr>
      <w:r w:rsidRPr="009C0834">
        <w:rPr>
          <w:lang/>
        </w:rPr>
        <w:t xml:space="preserve">37. Zdaniem pierwszego skarżącego Sąd Pokoju oddalił większość pytań zadanych przez obronę świadkom. Odmówił również podjęcia zarzutów dotyczących braku dostępu do prawnika, odmowy prawa do zagwarantowanej ustawowo rozmowy telefonicznej po zatrzymaniu, </w:t>
      </w:r>
      <w:r w:rsidRPr="00BF140B">
        <w:rPr>
          <w:lang/>
        </w:rPr>
        <w:t>bezprawnego pozbawienia wolności</w:t>
      </w:r>
      <w:r w:rsidRPr="009C0834">
        <w:rPr>
          <w:lang/>
        </w:rPr>
        <w:t xml:space="preserve"> w ciągu pierwszych sześciu godzin po zatrzymaniu, zatrzymania rzeczy osobistych w czasie kontroli osobistej oraz nieludzkich i poniżających warunków przewozu i </w:t>
      </w:r>
      <w:r>
        <w:rPr>
          <w:lang/>
        </w:rPr>
        <w:t>pozbawienia wolności</w:t>
      </w:r>
      <w:r w:rsidRPr="009C0834">
        <w:rPr>
          <w:lang/>
        </w:rPr>
        <w:t xml:space="preserve"> na komendzie policji w Kitay-Gorodzie.</w:t>
      </w:r>
    </w:p>
    <w:p w:rsidR="00A52C5C" w:rsidRPr="00B025B2" w:rsidRDefault="00A52C5C" w:rsidP="00A500BE">
      <w:pPr>
        <w:pStyle w:val="Styl1"/>
        <w:rPr>
          <w:lang/>
        </w:rPr>
      </w:pPr>
      <w:r w:rsidRPr="009C0834">
        <w:rPr>
          <w:lang/>
        </w:rPr>
        <w:t>38. W tym samym dniu Sąd Pokoju uznał pierwszego skarżącego winnym niezastosowania się do zgodnego z prawem polecenia policji. Podobnie jak w sprawie drugiego skarżącego, oparł swoje orzeczenie na zeznaniach świadków I. i F., ich pisemnych raportach oraz protokole z zatrzymania administracyjnego. Odrzucił zeznania skarżącego, A. i T. ze względu na ich sprzeczność z zeznaniami i raportami funkcjonariuszy policji oraz braku powodów do podważania wiarygodności tychże. Pierwszy skarżący uznany winnym naruszenia art. 19.3 Kodeksu wykroczeń administracyjnych i skazany na piętnaście dni aresztu administracyjnego.</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3. Postępowanie apelacyjne</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39. </w:t>
      </w:r>
      <w:r>
        <w:rPr>
          <w:rFonts w:ascii="Times New Roman" w:hAnsi="Times New Roman" w:cs="Times New Roman"/>
          <w:sz w:val="24"/>
          <w:szCs w:val="24"/>
          <w:lang w:val="pl-PL"/>
        </w:rPr>
        <w:t>W dniu</w:t>
      </w:r>
      <w:r w:rsidRPr="009C0834">
        <w:rPr>
          <w:rFonts w:ascii="Times New Roman" w:hAnsi="Times New Roman" w:cs="Times New Roman"/>
          <w:sz w:val="24"/>
          <w:szCs w:val="24"/>
          <w:lang w:val="pl-PL"/>
        </w:rPr>
        <w:t xml:space="preserve"> 6 grudnia 2011 r. obaj skarżący wnieśli apelacje, twierdząc, że ich zatrzymanie i skazanie za wykroczenie administracyjne naruszało prawo krajowe i Konwencję. Zakwestionowali ustalone przez sąd pierwszej instancji okoliczności wydarzeń, które nastąpiły po opuszczeniu przez nich legalnego zebrania. Oprócz tego skarżący zgłosili zastrzeżenia co do sposobu przeprowadzenia rozprawy przez sąd pierwszej instancji, w szczególności co do odmowy Sądu Pokoju w sprawie przyjęcia wniosków skarżących, dopuszczenia materiałów wideo jako dowodów oraz wezwania wszystkich świadków wskazanych przez obronę.</w:t>
      </w:r>
    </w:p>
    <w:p w:rsidR="00A52C5C" w:rsidRPr="00B025B2" w:rsidRDefault="00A52C5C" w:rsidP="005439E2">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Skarżący zakwestionowali również powody, dla których sąd odrzucił zeznania skarżących oraz świadków obrony. Skarżący wnieśli również skargę dotyczącą bezprawnego </w:t>
      </w:r>
      <w:r w:rsidRPr="00BF140B">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w czasie pierwszych sześciu godzin po zatrzymaniu, braku dostępu do prawnika oraz warunków, w jakich byli przewożeni pomiędzy komendami policji i przetrzymywani w areszcie na komendzie w Kitay-Gorodzie.</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40. </w:t>
      </w:r>
      <w:r>
        <w:rPr>
          <w:rFonts w:ascii="Times New Roman" w:hAnsi="Times New Roman" w:cs="Times New Roman"/>
          <w:sz w:val="24"/>
          <w:szCs w:val="24"/>
          <w:lang w:val="pl-PL"/>
        </w:rPr>
        <w:t>W dniu</w:t>
      </w:r>
      <w:r w:rsidRPr="009C0834">
        <w:rPr>
          <w:rFonts w:ascii="Times New Roman" w:hAnsi="Times New Roman" w:cs="Times New Roman"/>
          <w:sz w:val="24"/>
          <w:szCs w:val="24"/>
          <w:lang w:val="pl-PL"/>
        </w:rPr>
        <w:t xml:space="preserve"> 7 grudnia 2011 r. Sąd Rejonowy Tverskoy w Moskwie rozpatrzył apelacje skarżących w oddzielnych postępowaniach. W obydwu sprawach sąd oddalił skargi dotyczące odmowy przesłuchania świadków i dopuszczenia dowodów wnioskowanych przez skarżących. Odrzucił także wnioski skarżących o wezwanie tychże świadków. Odrzucił wnioski o dopuszczenie dowodu w postaci nagrań wideo ze względu na ich „nieznane pochodzenie” i odmówił sporządzenia pełnego protokołu z rozprawy, ponieważ uznał to za niepotrzebne. Przyjął wniosek o dołączenie fotografii </w:t>
      </w:r>
      <w:r w:rsidRPr="00BF140B">
        <w:rPr>
          <w:rFonts w:ascii="Times New Roman" w:hAnsi="Times New Roman" w:cs="Times New Roman"/>
          <w:sz w:val="24"/>
          <w:szCs w:val="24"/>
          <w:lang w:val="pl-PL"/>
        </w:rPr>
        <w:t>zatrzymania</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pierwszego skarżącego do akt sprawy. Tego samego dnia Sąd Rejonowy Tverskoy oddalił apelacje skarżących i podtrzymał wyrok pierwszej instancji w obu sprawach, podając to samo uzasadnienie.</w:t>
      </w:r>
    </w:p>
    <w:p w:rsidR="00A52C5C" w:rsidRPr="00B025B2" w:rsidRDefault="00A52C5C" w:rsidP="00A500BE">
      <w:pPr>
        <w:spacing w:after="0" w:line="240" w:lineRule="auto"/>
        <w:ind w:left="881"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41. W sprawie pierwszego skarżącego sąd orzekł w szczególności: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„Sąd Pokoju właściwie ustalił, że p. Navalnyy naruszył zgodne z prawem polecenie funkcjonariusza policji (...), w szczególności 5 grudnia 2011 r. o godz. 20:45 przy Teatralnym Proyezdzie w Moskwie (obok hotelu Metropol) po legalnym wydarzeniu publicznym (zebraniu) w parku bulwaru Chistoprudnyy brał udział wraz z grupą ok. 60 osób w marszu, który nie został zgłoszony władzy wykonawczej, zszedł na ulicę i szedł dalej, skręciwszy z bulwaru Chistoprudnyy w boczne uliczki Bolshaya Lubyanka, Kuznetskiy Most i Rozhdestvenka w kierunku Placu Czerwonego, przez co utrudniał ruch drogowy i stworzył zagrożenie wypadkowe, wykrzykując przy tym „Wstyd!”, „To nasze miasto!”, „Rosja bez Putina!”, „Precz z państwem policyjnym!”. W celu zatrzymania marszu stworzono kordon [policji] na skrzyżowaniu ul. Pushechnaya i Rozhdestvenka. Przez megafon kilkukrotnie powtórzono zgodne z prawem polecenia zatrzymania się; pomimo tego p. Navalnyy wraz z grupą innych osób przedarł się przez kordon i wszedł na Teatralnyy Proyezd, skandując cały czas hasła. Tam napotkali na kordon policji. [Navalnyy] nie zareagował na powtarzane, zgodne z prawem polecenia zaprzestania tego działania i rozejście się, kontynuował niezgodne z prawem działania, przyciągając uwagę obywateli i prasy. Podczas zatrzymania p. Navalnyy w odpowiedzi na prośbę przejścia do policyjnego busa w celu sporządzenia raportu w sprawie wykroczenia administracyjnego zaczął odpychać [I.] i [F.], próbując spowodować panikę wśród ludzi. Zachowując się w ten sposób, [Navalnyy] wyraził swoją odmowę zastosowania się do zgodnych z prawem poleceń policji i uniemożliwił policjantom wykonanie swoich obowiązków, co stanowi wykroczenie na podstawie art. 19.3 Kodeksu wykroczeń administracyjnych.</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Mimo, że p. Navalnyy zaprzeczył zarzutom, jego winę potwierdza raport w sprawie zarzutów administracyjnych (...), oświadczenia funkcjonariuszy policji [I.] i [F.] [oraz] ich zeznania złożone przed Sądem Pokoju na rozprawie sądowej.</w:t>
      </w: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Sąd Pokoju przedstawił poprawną i przekonującą ocenę tych dowodów, która prowadziła do wniosku, że p. Navalnyy umyślnie nie zastosował się do zgodnego z prawem polecenia funkcjonariuszy policji nakazującego zaprzestanie działań naruszających porządek publiczny i kontynuował je wbrew [rozkazowi policji].</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Dowody, które są istotne, dopuszczalne i wiarygodny, są spójne. [Sąd], w tym instancja odwoławcza, nie ustalił stronniczości wyżej wymienionych świadków ani powodów, dla których mieliby pomawiać p. Navalnego; z tego powodu wyjaśnienia p. Navalnego oraz zeznania świadków A. i T. zostały należycie odrzucone z braku ich wiarygodnego potwierdzenia; wyrok Sądu Pokoju posiada wystarczające uzasadnienie w tym względzie.</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 xml:space="preserve">(...) Jak wynika z [protokołu doprowadzenia] oraz [protokołu </w:t>
      </w:r>
      <w:r>
        <w:rPr>
          <w:rFonts w:ascii="Times New Roman" w:hAnsi="Times New Roman" w:cs="Times New Roman"/>
          <w:sz w:val="20"/>
          <w:szCs w:val="20"/>
          <w:lang w:val="pl-PL"/>
        </w:rPr>
        <w:t>zatrzymania</w:t>
      </w:r>
      <w:r w:rsidRPr="009C0834">
        <w:rPr>
          <w:rFonts w:ascii="Times New Roman" w:hAnsi="Times New Roman" w:cs="Times New Roman"/>
          <w:sz w:val="20"/>
          <w:szCs w:val="20"/>
          <w:lang w:val="pl-PL"/>
        </w:rPr>
        <w:t xml:space="preserve">] [policja] miała wystarczające powody, aby zatrzymać p. Navalnego i doprowadzić go na komendę policji w Kitay-Gorodzie w Moskwie, w szczególności brak możliwości sporządzenia raportu w sprawie wykroczenia administracyjnego na miejscu. Raporty są zgodne z wymaganiami prawnymi pod względem materialnoprawnym i formalnoprawnym. Jednoczenie sąd oddala argumenty obrony dotyczące niezgodnego z prawem pozbawienia wolności przez sześć godzin jako nieuzasadnione. Jak wynika z akt sprawy, po zatrzymaniu na Teatralnym Proyezdzie p. Navalnyy o godz. 2.30 6 grudnia 2011 r. został zabrany na komendę policji w Kitay-Gorodzie w Moskwie, gdzie sporządzono materiał administracyjny przeciwko niemu. 6 grudnia 2011 r. sprawa administracyjna została odesłana do Sądu Pokoju. Funkcjonariusze policji postępowali zgodnie z </w:t>
      </w:r>
      <w:r w:rsidRPr="00BF140B">
        <w:rPr>
          <w:rFonts w:ascii="Times New Roman" w:hAnsi="Times New Roman" w:cs="Times New Roman"/>
          <w:sz w:val="20"/>
          <w:szCs w:val="20"/>
          <w:lang w:val="pl-PL"/>
        </w:rPr>
        <w:t>warunkami aresztowania administracyjnego</w:t>
      </w:r>
      <w:r w:rsidRPr="009C0834">
        <w:rPr>
          <w:rFonts w:ascii="Times New Roman" w:hAnsi="Times New Roman" w:cs="Times New Roman"/>
          <w:sz w:val="20"/>
          <w:szCs w:val="20"/>
          <w:lang w:val="pl-PL"/>
        </w:rPr>
        <w:t xml:space="preserve"> ustalonymi w art. 27.5 Kodeksu wykroczeń administracyjnych.</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Podczas rozprawy [apelacyjnej] (...) p. Yashin został przesłuchany jako świadek. Zeznał, że w chwili zatrzymania p. Navalnego był z nim na pl. Teatralnaya. W chwili zatrzymania znajdowali się na chodniku niedaleko przejścia podziemnego i nie popełniali żadnych niezgodnych z prawem czynów. Oddziały prewencji zablokowały około 100 ludzi. Potem p. Navalnyy i p. Yashin zostali praktycznie równocześnie zatrzymani. W tym momencie funkcjonariusze policji nie wydawali żadnych poleceń, nie doszło do nieposłuszeństwa ze stronie [skarżących]. Funkcjonariusze policji [I.] i [F.] nie brali udziału w ich zatrzymaniu, ich zeznania przed sądem były niezgodne z prawdą.</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Dokonując oceny zeznań świadka p. Yashina sąd uznaje je za niewiarygodne i odrzuca je, ponieważ są sprzeczne z zeznaniami [I.] oraz [F.], które są logiczne, spójne, zgodne i mają obiektywne potwierdzenie w postaci dowodów w formie pisemnej (...).”</w:t>
      </w:r>
    </w:p>
    <w:p w:rsidR="00A52C5C" w:rsidRPr="00B025B2" w:rsidRDefault="00A52C5C" w:rsidP="00A500BE">
      <w:pPr>
        <w:spacing w:after="0" w:line="240" w:lineRule="auto"/>
        <w:ind w:right="567"/>
        <w:jc w:val="both"/>
        <w:rPr>
          <w:sz w:val="12"/>
          <w:szCs w:val="12"/>
          <w:lang w:val="pl-PL"/>
        </w:rPr>
      </w:pPr>
    </w:p>
    <w:p w:rsidR="00A52C5C"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42. Wyrok wydany w sprawie drugiego skarżącego był zasadniczo taki sam, łącznie z podobnymi zeznaniami drugiego skarżącego.</w:t>
      </w:r>
    </w:p>
    <w:p w:rsidR="00A52C5C" w:rsidRDefault="00A52C5C" w:rsidP="00A500BE">
      <w:pPr>
        <w:spacing w:after="0" w:line="240" w:lineRule="auto"/>
        <w:ind w:left="595" w:right="567" w:firstLine="285"/>
        <w:jc w:val="both"/>
        <w:rPr>
          <w:rFonts w:ascii="Times New Roman" w:hAnsi="Times New Roman" w:cs="Times New Roman"/>
          <w:sz w:val="24"/>
          <w:szCs w:val="24"/>
          <w:lang w:val="pl-PL"/>
        </w:rPr>
      </w:pPr>
    </w:p>
    <w:p w:rsidR="00A52C5C" w:rsidRDefault="00A52C5C" w:rsidP="00A500BE">
      <w:pPr>
        <w:spacing w:after="0" w:line="240" w:lineRule="auto"/>
        <w:ind w:left="595" w:right="567" w:firstLine="285"/>
        <w:jc w:val="both"/>
        <w:rPr>
          <w:rFonts w:ascii="Times New Roman" w:hAnsi="Times New Roman" w:cs="Times New Roman"/>
          <w:sz w:val="24"/>
          <w:szCs w:val="24"/>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23783A">
        <w:rPr>
          <w:rFonts w:ascii="Times New Roman" w:hAnsi="Times New Roman" w:cs="Times New Roman"/>
          <w:sz w:val="24"/>
          <w:szCs w:val="24"/>
          <w:lang w:val="pl-PL"/>
        </w:rPr>
        <w:t>II. WŁAŚCIWE PRAWO KRAJOWE</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43. Federalna Ustawa o zgromadzeniach, zebraniach, demonstracjach, marszach i pikietach (nr. 54-FZ z dnia 18 sierpnia 2004 r. – „Prawo o zgromadzeniach”) przewidywała w tamtym czasie, że wydarzenie publiczne może zostać przerwane, jeżeli (i) istnieje rzeczywiste zagrożenie dla życia i integralności fizycznej osób lub własności; (ii) uczestnicy zachowują się niezgodnie z prawem lub organizator wydarzenia świadomie naruszył wymagania Ustawy co do przebiegu wydarzenia (art. 16).</w:t>
      </w:r>
    </w:p>
    <w:p w:rsidR="00A52C5C" w:rsidRPr="00B025B2" w:rsidRDefault="00A52C5C" w:rsidP="000C7689">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W takich okolicznościach przedstawiciel władzy publicznej, którego obecność na wydarzeniu była konieczna, mógł nakazać organizatorowi wydarzenia jego zakończenie. Przedstawiciel był zobowiązany do przedstawienia powodów takiego nakazu i pozostawienia czasu na zastosowanie się do niego. Jeżeli organizator nie zastosował się do nakazu, urzędnik publiczny mógł wydać ten sam nakaz uczestnikom. Jeżeli zarówno organizator, jak i uczestnicy nie zastosowali się do nakazu, policja była zobowiązana do podjęcia stosownych środków w celu przerwania wydarzenia (art. 17).</w:t>
      </w:r>
    </w:p>
    <w:p w:rsidR="00A52C5C" w:rsidRPr="00B025B2" w:rsidRDefault="00A52C5C" w:rsidP="00A500BE">
      <w:pPr>
        <w:pStyle w:val="Styl1"/>
        <w:rPr>
          <w:lang/>
        </w:rPr>
      </w:pPr>
      <w:r w:rsidRPr="009C0834">
        <w:rPr>
          <w:lang/>
        </w:rPr>
        <w:t>44. Stosowne zapisy Kodeksu wykroczeń administracyjnych z dnia 30 grudnia 2001 r. obowiązujące w tamtym czasie miały następujące brzmienie:</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567" w:right="567"/>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Art. 19.3 Niezastosowanie się do zgodnego z prawem polecenia funkcjonariusza policji (...)</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 xml:space="preserve">„Niezastosowanie się do zgodnego z prawem polecenia lub wezwania funkcjonariusza policji (...) w związku z wykonywaniem przez niego </w:t>
      </w:r>
      <w:r>
        <w:rPr>
          <w:rFonts w:ascii="Times New Roman" w:hAnsi="Times New Roman" w:cs="Times New Roman"/>
          <w:sz w:val="20"/>
          <w:szCs w:val="20"/>
          <w:lang w:val="pl-PL"/>
        </w:rPr>
        <w:t>jego</w:t>
      </w:r>
      <w:r w:rsidRPr="009C0834">
        <w:rPr>
          <w:rFonts w:ascii="Times New Roman" w:hAnsi="Times New Roman" w:cs="Times New Roman"/>
          <w:sz w:val="20"/>
          <w:szCs w:val="20"/>
          <w:lang w:val="pl-PL"/>
        </w:rPr>
        <w:t xml:space="preserve"> obowiązków służbowych związanych z utrzymaniem porządku publicznego i bezpieczeństwa lub utrudnianie wykonania takich obowiązków służbowych będzie karane grzywną w wysokości od 500 do 1 000 rubli rosyjskich (RUB) lub </w:t>
      </w:r>
      <w:r w:rsidRPr="00BF140B">
        <w:rPr>
          <w:rFonts w:ascii="Times New Roman" w:hAnsi="Times New Roman" w:cs="Times New Roman"/>
          <w:sz w:val="20"/>
          <w:szCs w:val="20"/>
          <w:lang w:val="pl-PL"/>
        </w:rPr>
        <w:t>aresztem administracyjnym</w:t>
      </w:r>
      <w:r w:rsidRPr="009C0834">
        <w:rPr>
          <w:rFonts w:ascii="Times New Roman" w:hAnsi="Times New Roman" w:cs="Times New Roman"/>
          <w:sz w:val="20"/>
          <w:szCs w:val="20"/>
          <w:lang w:val="pl-PL"/>
        </w:rPr>
        <w:t xml:space="preserve"> do piętnastu dni.”</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567" w:right="567"/>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Art. 20.2 Naruszenia obowiązującej procedury organizacji lub przebiegu zgromadzeń publicznych, zebrań, demonstracji, marszów lub pikiet.</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Naruszenia obowiązującej procedury organizacji lub przebiegu zgromadzeń publicznych, zebrań, demonstracji, marszów lub pikiet będą karane grzywną administracyjną w wysokości 10-20-krotności minimalnej stawki wynagrodzenia, płatną przez organizatorów.</w:t>
      </w:r>
    </w:p>
    <w:p w:rsidR="00A52C5C" w:rsidRPr="00B025B2" w:rsidRDefault="00A52C5C" w:rsidP="00A500BE">
      <w:pPr>
        <w:spacing w:after="0" w:line="240" w:lineRule="auto"/>
        <w:ind w:right="567"/>
        <w:jc w:val="both"/>
        <w:rPr>
          <w:sz w:val="12"/>
          <w:szCs w:val="12"/>
          <w:lang w:val="pl-PL"/>
        </w:rPr>
      </w:pPr>
    </w:p>
    <w:p w:rsidR="00A52C5C"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2. Naruszenia obowiązującej procedury organizacji lub przebiegu zgromadzeń publicznych, zebrań, demonstracji, marszów lub pikiet będą karane grzywną administracyjną w wysokości od 1 000 RUB do 2 000 RUB w przypadku organizatorów i od 500 RUB do 1 000 RUB w przypadku uczestników.”</w:t>
      </w: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p>
    <w:p w:rsidR="00A52C5C" w:rsidRPr="00B025B2" w:rsidRDefault="00A52C5C" w:rsidP="00A500BE">
      <w:pPr>
        <w:spacing w:after="0" w:line="240" w:lineRule="auto"/>
        <w:ind w:left="567" w:right="567"/>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Art. 27.2 Doprowadzenie osób</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Doprowadzenie lub przymusowe przewiezienie osoby w celu sporządzenia raportu w sprawie wykroczenia administracyjnego w przypadku braku możliwości sporządzenia takiego raportu na miejscu ustalenia wykroczenia, gdy sporządzenie takiego raportu jest obowiązkowe, zostanie wykonane:</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przez policję (...)</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2. Doprowadzenie zostanie przeprowadzone najszybciej, jak to możliwe.</w:t>
      </w:r>
    </w:p>
    <w:p w:rsidR="00A52C5C" w:rsidRPr="00B025B2" w:rsidRDefault="00A52C5C" w:rsidP="00A500BE">
      <w:pPr>
        <w:spacing w:after="0" w:line="240" w:lineRule="auto"/>
        <w:ind w:right="567"/>
        <w:jc w:val="both"/>
        <w:rPr>
          <w:sz w:val="12"/>
          <w:szCs w:val="12"/>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 xml:space="preserve">3. Doprowadzenie zostanie </w:t>
      </w:r>
      <w:r w:rsidRPr="00BF140B">
        <w:rPr>
          <w:rFonts w:ascii="Times New Roman" w:hAnsi="Times New Roman" w:cs="Times New Roman"/>
          <w:sz w:val="20"/>
          <w:szCs w:val="20"/>
          <w:lang w:val="pl-PL"/>
        </w:rPr>
        <w:t>odnotowane w protokole konwoju, raporcie w sprawie wykroczenia administracyjnego lub protokole aresztowania administracyjnego. Osoba doprowadzona otrzyma na życzenie kopię protokołu konwoju.”</w:t>
      </w: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p>
    <w:p w:rsidR="00A52C5C" w:rsidRPr="00BF140B" w:rsidRDefault="00A52C5C" w:rsidP="00A500BE">
      <w:pPr>
        <w:spacing w:after="0" w:line="240" w:lineRule="auto"/>
        <w:ind w:left="567" w:right="567"/>
        <w:jc w:val="both"/>
        <w:rPr>
          <w:rFonts w:ascii="Times New Roman" w:hAnsi="Times New Roman" w:cs="Times New Roman"/>
          <w:sz w:val="20"/>
          <w:szCs w:val="20"/>
          <w:lang w:val="pl-PL"/>
        </w:rPr>
      </w:pPr>
      <w:r w:rsidRPr="00BF140B">
        <w:rPr>
          <w:rFonts w:ascii="Times New Roman" w:hAnsi="Times New Roman" w:cs="Times New Roman"/>
          <w:b/>
          <w:bCs/>
          <w:sz w:val="20"/>
          <w:szCs w:val="20"/>
          <w:lang w:val="pl-PL"/>
        </w:rPr>
        <w:t>Art. 27.3 Aresztowanie administracyjne</w:t>
      </w:r>
    </w:p>
    <w:p w:rsidR="00A52C5C" w:rsidRPr="00BF140B" w:rsidRDefault="00A52C5C" w:rsidP="00A500BE">
      <w:pPr>
        <w:spacing w:after="0" w:line="240" w:lineRule="auto"/>
        <w:ind w:right="567"/>
        <w:jc w:val="both"/>
        <w:rPr>
          <w:sz w:val="11"/>
          <w:szCs w:val="11"/>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“1. Aresztowanie administracyjne lub krótkoterminowe ograniczenie wolności osoby może zostać zastosowane w wyjątkowych okolicznościach, jeżeli jest ono konieczne do szybkiego i poprawnego rozpatrzenia domniemanego wykroczenia administracyjnego lub zabezpieczenia wykonania kary nałożonej wyrokiem dotyczącym wykroczenia administracyjnego. (...)</w:t>
      </w:r>
    </w:p>
    <w:p w:rsidR="00A52C5C" w:rsidRPr="00BF140B" w:rsidRDefault="00A52C5C" w:rsidP="00A500BE">
      <w:pPr>
        <w:spacing w:after="0" w:line="240" w:lineRule="auto"/>
        <w:ind w:right="567"/>
        <w:jc w:val="both"/>
        <w:rPr>
          <w:sz w:val="12"/>
          <w:szCs w:val="12"/>
          <w:lang w:val="pl-PL"/>
        </w:rPr>
      </w:pPr>
    </w:p>
    <w:p w:rsidR="00A52C5C" w:rsidRPr="00BF140B" w:rsidRDefault="00A52C5C" w:rsidP="00A500BE">
      <w:pPr>
        <w:spacing w:after="0" w:line="240" w:lineRule="auto"/>
        <w:ind w:left="1163" w:right="567"/>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w:t>
      </w:r>
    </w:p>
    <w:p w:rsidR="00A52C5C" w:rsidRPr="00BF140B" w:rsidRDefault="00A52C5C" w:rsidP="00A500BE">
      <w:pPr>
        <w:spacing w:after="0" w:line="240" w:lineRule="auto"/>
        <w:ind w:right="567"/>
        <w:jc w:val="both"/>
        <w:rPr>
          <w:sz w:val="20"/>
          <w:szCs w:val="20"/>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3. Na życzenie osoby zatrzymanej jej rodzina, dział administracyjny w miejscu pracy lub szkole oraz obrona zostaną powiadomieni o miejscu jej pobytu.</w:t>
      </w:r>
    </w:p>
    <w:p w:rsidR="00A52C5C" w:rsidRPr="00BF140B" w:rsidRDefault="00A52C5C" w:rsidP="00A500BE">
      <w:pPr>
        <w:spacing w:after="0" w:line="240" w:lineRule="auto"/>
        <w:ind w:right="567"/>
        <w:jc w:val="both"/>
        <w:rPr>
          <w:sz w:val="12"/>
          <w:szCs w:val="12"/>
          <w:lang w:val="pl-PL"/>
        </w:rPr>
      </w:pPr>
    </w:p>
    <w:p w:rsidR="00A52C5C" w:rsidRPr="00BF140B" w:rsidRDefault="00A52C5C" w:rsidP="00A500BE">
      <w:pPr>
        <w:spacing w:after="0" w:line="240" w:lineRule="auto"/>
        <w:ind w:left="1163" w:right="567"/>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w:t>
      </w:r>
    </w:p>
    <w:p w:rsidR="00A52C5C" w:rsidRPr="00BF140B" w:rsidRDefault="00A52C5C" w:rsidP="00A500BE">
      <w:pPr>
        <w:spacing w:after="0" w:line="240" w:lineRule="auto"/>
        <w:ind w:right="567"/>
        <w:jc w:val="both"/>
        <w:rPr>
          <w:sz w:val="12"/>
          <w:szCs w:val="12"/>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5. Osoba zatrzymana zostanie pouczona o przysługujących jej na podstawie niniejszego Kodeksu prawach i obowiązkach, co zostanie odnotowane poprzez odpowiedni wpis w protokole z zatrzymania administracyjnego.”</w:t>
      </w:r>
    </w:p>
    <w:p w:rsidR="00A52C5C" w:rsidRPr="00BF140B" w:rsidRDefault="00A52C5C" w:rsidP="00A500BE">
      <w:pPr>
        <w:spacing w:after="0" w:line="240" w:lineRule="auto"/>
        <w:ind w:right="567"/>
        <w:jc w:val="both"/>
        <w:rPr>
          <w:sz w:val="24"/>
          <w:szCs w:val="24"/>
          <w:lang w:val="pl-PL"/>
        </w:rPr>
      </w:pPr>
    </w:p>
    <w:p w:rsidR="00A52C5C" w:rsidRPr="00BF140B" w:rsidRDefault="00A52C5C" w:rsidP="00A500BE">
      <w:pPr>
        <w:spacing w:after="0" w:line="240" w:lineRule="auto"/>
        <w:ind w:left="993" w:right="567"/>
        <w:jc w:val="both"/>
        <w:rPr>
          <w:rFonts w:ascii="Times New Roman" w:hAnsi="Times New Roman" w:cs="Times New Roman"/>
          <w:sz w:val="20"/>
          <w:szCs w:val="20"/>
          <w:lang w:val="pl-PL"/>
        </w:rPr>
      </w:pPr>
      <w:r w:rsidRPr="00BF140B">
        <w:rPr>
          <w:rFonts w:ascii="Times New Roman" w:hAnsi="Times New Roman" w:cs="Times New Roman"/>
          <w:b/>
          <w:bCs/>
          <w:sz w:val="20"/>
          <w:szCs w:val="20"/>
          <w:lang w:val="pl-PL"/>
        </w:rPr>
        <w:t>Art. 27.4 Protokół aresztowania administracyjnego</w:t>
      </w:r>
    </w:p>
    <w:p w:rsidR="00A52C5C" w:rsidRPr="00BF140B" w:rsidRDefault="00A52C5C" w:rsidP="00A500BE">
      <w:pPr>
        <w:spacing w:after="0" w:line="240" w:lineRule="auto"/>
        <w:ind w:right="567"/>
        <w:jc w:val="both"/>
        <w:rPr>
          <w:sz w:val="11"/>
          <w:szCs w:val="11"/>
          <w:lang w:val="pl-PL"/>
        </w:rPr>
      </w:pPr>
    </w:p>
    <w:p w:rsidR="00A52C5C" w:rsidRPr="00BF140B" w:rsidRDefault="00A52C5C" w:rsidP="00A500BE">
      <w:pPr>
        <w:spacing w:after="0" w:line="240" w:lineRule="auto"/>
        <w:ind w:left="1163" w:right="567"/>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“1. Aresztowanie administracyjne zostanie odnotowane w protokole (...)</w:t>
      </w:r>
    </w:p>
    <w:p w:rsidR="00A52C5C" w:rsidRPr="00BF140B" w:rsidRDefault="00A52C5C" w:rsidP="00A500BE">
      <w:pPr>
        <w:spacing w:after="0" w:line="240" w:lineRule="auto"/>
        <w:ind w:right="567"/>
        <w:jc w:val="both"/>
        <w:rPr>
          <w:sz w:val="12"/>
          <w:szCs w:val="12"/>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2. (...) Na życzenie osoba zatrzymana otrzyma kopię protokołu aresztowania administracyjnego.”</w:t>
      </w:r>
    </w:p>
    <w:p w:rsidR="00A52C5C" w:rsidRPr="00BF140B" w:rsidRDefault="00A52C5C" w:rsidP="00A500BE">
      <w:pPr>
        <w:spacing w:after="0" w:line="240" w:lineRule="auto"/>
        <w:ind w:right="567"/>
        <w:jc w:val="both"/>
        <w:rPr>
          <w:sz w:val="24"/>
          <w:szCs w:val="24"/>
          <w:lang w:val="pl-PL"/>
        </w:rPr>
      </w:pPr>
    </w:p>
    <w:p w:rsidR="00A52C5C" w:rsidRPr="00BF140B" w:rsidRDefault="00A52C5C" w:rsidP="00A500BE">
      <w:pPr>
        <w:spacing w:after="0" w:line="240" w:lineRule="auto"/>
        <w:ind w:left="993" w:right="567"/>
        <w:jc w:val="both"/>
        <w:rPr>
          <w:rFonts w:ascii="Times New Roman" w:hAnsi="Times New Roman" w:cs="Times New Roman"/>
          <w:sz w:val="20"/>
          <w:szCs w:val="20"/>
          <w:lang w:val="pl-PL"/>
        </w:rPr>
      </w:pPr>
      <w:r w:rsidRPr="00BF140B">
        <w:rPr>
          <w:rFonts w:ascii="Times New Roman" w:hAnsi="Times New Roman" w:cs="Times New Roman"/>
          <w:b/>
          <w:bCs/>
          <w:sz w:val="20"/>
          <w:szCs w:val="20"/>
          <w:lang w:val="pl-PL"/>
        </w:rPr>
        <w:t>Art. 27.5 Okres aresztowania administracyjnego</w:t>
      </w:r>
    </w:p>
    <w:p w:rsidR="00A52C5C" w:rsidRPr="00BF140B" w:rsidRDefault="00A52C5C" w:rsidP="00A500BE">
      <w:pPr>
        <w:spacing w:after="0" w:line="240" w:lineRule="auto"/>
        <w:ind w:right="567"/>
        <w:jc w:val="both"/>
        <w:rPr>
          <w:sz w:val="11"/>
          <w:szCs w:val="11"/>
          <w:lang w:val="pl-PL"/>
        </w:rPr>
      </w:pPr>
    </w:p>
    <w:p w:rsidR="00A52C5C" w:rsidRPr="00BF140B"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“1. Okres aresztowania administracyjnego nie będzie przekraczał trzech godzin z wyjątkiem przypadków określonych w paragrafach 2 i 3 niniejszego artykułu.</w:t>
      </w:r>
    </w:p>
    <w:p w:rsidR="00A52C5C" w:rsidRPr="00BF140B"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BF140B">
        <w:rPr>
          <w:rFonts w:ascii="Times New Roman" w:hAnsi="Times New Roman" w:cs="Times New Roman"/>
          <w:sz w:val="20"/>
          <w:szCs w:val="20"/>
          <w:lang w:val="pl-PL"/>
        </w:rPr>
        <w:t>2. Osoby, w stosunku do których toczy się postępowanie administracyjne dotyczące wykroczeń polegających na niezgodnym z prawem przekroczeniu rosyjskiej granicy, mogą zostać aresztowane na okres nieprzekraczający 48</w:t>
      </w:r>
      <w:r w:rsidRPr="009C0834">
        <w:rPr>
          <w:rFonts w:ascii="Times New Roman" w:hAnsi="Times New Roman" w:cs="Times New Roman"/>
          <w:sz w:val="20"/>
          <w:szCs w:val="20"/>
          <w:lang w:val="pl-PL"/>
        </w:rPr>
        <w:t xml:space="preserve"> godzin.</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3. Osoby, w stosunku do których toczy się postępowanie administracyjne dotyczące wykroczeń, za które oprócz innych sankcji administracyjnych grozi kara aresztu administracyjnego, mogą zostać aresztowane na okres nieprzekraczający 48 godzin.</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4. Okres areszt</w:t>
      </w:r>
      <w:r>
        <w:rPr>
          <w:rFonts w:ascii="Times New Roman" w:hAnsi="Times New Roman" w:cs="Times New Roman"/>
          <w:sz w:val="20"/>
          <w:szCs w:val="20"/>
          <w:lang w:val="pl-PL"/>
        </w:rPr>
        <w:t>owania</w:t>
      </w:r>
      <w:r w:rsidRPr="009C0834">
        <w:rPr>
          <w:rFonts w:ascii="Times New Roman" w:hAnsi="Times New Roman" w:cs="Times New Roman"/>
          <w:sz w:val="20"/>
          <w:szCs w:val="20"/>
          <w:lang w:val="pl-PL"/>
        </w:rPr>
        <w:t xml:space="preserve"> administracyjnego rozpoczyna się w chwili doprowadzenia [osoby] zgodnie z art. 27.2 [na komendę policji], a w przypadku osoby w stanie upojenia alkoholowego od chwili wytrzeźwienia.”</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54" w:right="567"/>
        <w:jc w:val="both"/>
        <w:rPr>
          <w:rFonts w:ascii="Times New Roman" w:hAnsi="Times New Roman" w:cs="Times New Roman"/>
          <w:sz w:val="28"/>
          <w:szCs w:val="28"/>
          <w:lang w:val="pl-PL"/>
        </w:rPr>
      </w:pPr>
      <w:r w:rsidRPr="009C0834">
        <w:rPr>
          <w:rFonts w:ascii="Times New Roman" w:hAnsi="Times New Roman" w:cs="Times New Roman"/>
          <w:sz w:val="28"/>
          <w:szCs w:val="28"/>
          <w:lang w:val="pl-PL"/>
        </w:rPr>
        <w:t>PRAWO</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953" w:right="567" w:hanging="358"/>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 ZARZUT NARUSZENIA ART. 10 I 11 KONWENCJI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45. Skarżący podnieśli, że ich </w:t>
      </w:r>
      <w:r w:rsidRPr="00BF140B">
        <w:rPr>
          <w:rFonts w:ascii="Times New Roman" w:hAnsi="Times New Roman" w:cs="Times New Roman"/>
          <w:sz w:val="24"/>
          <w:szCs w:val="24"/>
          <w:lang w:val="pl-PL"/>
        </w:rPr>
        <w:t xml:space="preserve">zatrzymanie i </w:t>
      </w:r>
      <w:r>
        <w:rPr>
          <w:rFonts w:ascii="Times New Roman" w:hAnsi="Times New Roman" w:cs="Times New Roman"/>
          <w:sz w:val="24"/>
          <w:szCs w:val="24"/>
          <w:lang w:val="pl-PL"/>
        </w:rPr>
        <w:t xml:space="preserve">pozbawienie wolności </w:t>
      </w:r>
      <w:r w:rsidRPr="009C0834">
        <w:rPr>
          <w:rFonts w:ascii="Times New Roman" w:hAnsi="Times New Roman" w:cs="Times New Roman"/>
          <w:sz w:val="24"/>
          <w:szCs w:val="24"/>
          <w:lang w:val="pl-PL"/>
        </w:rPr>
        <w:t>po demonstracji 5 grudnia 2011 r. oraz skazanie za wykroczenie administracyjne naruszyło ich wolność wyrażania opinii oraz prawo do swobodnego,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zagwarantowane w art. 10 i 11 Konwencji, które mają następujące brzmienie:</w:t>
      </w:r>
    </w:p>
    <w:p w:rsidR="00A52C5C" w:rsidRPr="00B025B2" w:rsidRDefault="00A52C5C" w:rsidP="00A500BE">
      <w:pPr>
        <w:spacing w:after="0" w:line="240" w:lineRule="auto"/>
        <w:ind w:right="567"/>
        <w:jc w:val="both"/>
        <w:rPr>
          <w:sz w:val="24"/>
          <w:szCs w:val="24"/>
          <w:lang w:val="pl-PL"/>
        </w:rPr>
      </w:pPr>
    </w:p>
    <w:p w:rsidR="00A52C5C" w:rsidRPr="00B025B2" w:rsidRDefault="00A52C5C" w:rsidP="00105D00">
      <w:pPr>
        <w:spacing w:after="0" w:line="240" w:lineRule="auto"/>
        <w:ind w:left="160" w:right="567" w:firstLine="720"/>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Artykuł 10 (Wolność wyrażania opinii)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Każdy ma prawo do wolności wyrażania opinii. Prawo to obejmuje wolność posiadania poglądów oraz otrzymywania i przekazywania informacji i idei bez ingerencji władz publicznych i bez względu na granice państwowe. Niniejszy przepis nie wyklucza prawa przysługującego Państwom do nałożenia na przedsiębiorstwa radiowe, telewizyjne lub kinematograficzne obowiązku uzyskania licencji.</w:t>
      </w: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2. Korzystanie z tych wolności pociągających za sobą obowiązki i odpowiedzialność może podlegać takim wymogom formalnym, warunkom, ograniczeniom i sankcjom, jakie są przewidziane przez ustawę i niezbędne w społeczeństwie demokratycznym w celu zapewnienia bezpieczeństwa państwowego, integralności terytorialnej lub bezpieczeństwa publicznego ze względu na konieczność zapobieżenia zakłóceniu porządku lub przestępstwu, z uwagi na ochronę zdrowia i moralności, ochronę dobrego imienia i praw innych osób oraz ze względu na zapobieżenie ujawnieniu informacji poufnych lub na zagwarantowanie powagi i bezstronności władzy sądowej.”</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993" w:right="567"/>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Artykuł 11 (Wolność zgromadzeń i stowarzyszania się)</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4"/>
          <w:szCs w:val="24"/>
          <w:lang w:val="pl-PL"/>
        </w:rPr>
        <w:t>“</w:t>
      </w:r>
      <w:r w:rsidRPr="009C0834">
        <w:rPr>
          <w:rFonts w:ascii="Times New Roman" w:hAnsi="Times New Roman" w:cs="Times New Roman"/>
          <w:sz w:val="20"/>
          <w:szCs w:val="20"/>
          <w:lang w:val="pl-PL"/>
        </w:rPr>
        <w:t>1. Każdy ma prawo do swobodnego, pokojowego zgromadz</w:t>
      </w:r>
      <w:r>
        <w:rPr>
          <w:rFonts w:ascii="Times New Roman" w:hAnsi="Times New Roman" w:cs="Times New Roman"/>
          <w:sz w:val="20"/>
          <w:szCs w:val="20"/>
          <w:lang w:val="pl-PL"/>
        </w:rPr>
        <w:t>e</w:t>
      </w:r>
      <w:r w:rsidRPr="009C0834">
        <w:rPr>
          <w:rFonts w:ascii="Times New Roman" w:hAnsi="Times New Roman" w:cs="Times New Roman"/>
          <w:sz w:val="20"/>
          <w:szCs w:val="20"/>
          <w:lang w:val="pl-PL"/>
        </w:rPr>
        <w:t>nia się oraz do swobodnego stowarzyszania się, włącznie z prawem tworzenia związków zawodowych i przystępowania do nich dla ochrony swoich interesów.</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2. Wykonywanie tych praw nie może podlegać innym ograniczeniom niż te, które określa ustawa i które są konieczne w społeczeństwie demokratycznym z uwagi na interesy bezpieczeństwa państwowego lub publicznego, ochronę porządku i zapobieganie przestępstwu, ochronę zdrowia i moralności lub ochronę praw i wolności innych osób. Niniejszy przepis nie stanowi przeszkody w nakładaniu zgodnych z prawem ograniczeń w korzystaniu z tych praw przez członków sił zbrojnych, policji lub administracji państwowej.”</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Dopuszczalność</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46. Trybunał pragnie zauważyć, że niniejsza część skargi nie może zostać uznana za </w:t>
      </w:r>
      <w:r>
        <w:rPr>
          <w:rFonts w:ascii="Times New Roman" w:hAnsi="Times New Roman" w:cs="Times New Roman"/>
          <w:sz w:val="24"/>
          <w:szCs w:val="24"/>
          <w:lang w:val="pl-PL"/>
        </w:rPr>
        <w:t>w sposób oczywisty nieuzasadnioną</w:t>
      </w:r>
      <w:r w:rsidRPr="009C0834">
        <w:rPr>
          <w:rFonts w:ascii="Times New Roman" w:hAnsi="Times New Roman" w:cs="Times New Roman"/>
          <w:sz w:val="24"/>
          <w:szCs w:val="24"/>
          <w:lang w:val="pl-PL"/>
        </w:rPr>
        <w:t xml:space="preserve"> w rozumieniu art. 35 § 3 </w:t>
      </w:r>
      <w:r>
        <w:rPr>
          <w:rFonts w:ascii="Times New Roman" w:hAnsi="Times New Roman" w:cs="Times New Roman"/>
          <w:sz w:val="24"/>
          <w:szCs w:val="24"/>
          <w:lang w:val="pl-PL"/>
        </w:rPr>
        <w:t xml:space="preserve">lit. </w:t>
      </w:r>
      <w:r w:rsidRPr="009C0834">
        <w:rPr>
          <w:rFonts w:ascii="Times New Roman" w:hAnsi="Times New Roman" w:cs="Times New Roman"/>
          <w:sz w:val="24"/>
          <w:szCs w:val="24"/>
          <w:lang w:val="pl-PL"/>
        </w:rPr>
        <w:t>a) Konwencji. W opinii Trybunału nie jest też niedopuszczalna z żadnych innych przyczyn. W związku z powyższym musi ona zostać uznana za dopuszczalną.</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B</w:t>
      </w:r>
      <w:r>
        <w:rPr>
          <w:rFonts w:ascii="Times New Roman" w:hAnsi="Times New Roman" w:cs="Times New Roman"/>
          <w:b/>
          <w:bCs/>
          <w:sz w:val="24"/>
          <w:szCs w:val="24"/>
          <w:lang w:val="pl-PL"/>
        </w:rPr>
        <w:t>. Przedmiot</w:t>
      </w:r>
      <w:r w:rsidRPr="009C0834">
        <w:rPr>
          <w:rFonts w:ascii="Times New Roman" w:hAnsi="Times New Roman" w:cs="Times New Roman"/>
          <w:b/>
          <w:bCs/>
          <w:sz w:val="24"/>
          <w:szCs w:val="24"/>
          <w:lang w:val="pl-PL"/>
        </w:rPr>
        <w:t xml:space="preserve"> sprawy</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1. Stanowiska stron</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47. Skarżący podnieśli, że zostali zatrzymani po tym, jak wzięli udział w legalnym wiecu politycznym i zostali umieszczeni w areszcie, a następnie uznani za winnych wykroczenia administracyjnego w ramach odwetu za ich aktywny udział w wiecu i wyrażenie poglądów politycznych opozycji. Obaj utrzymywali, że nie planowali marszu po legalnym zebraniu. Utrzymywali, że szli w kierunku samochodu pierwszego skarżącego, kiedy oddziały prewencji zastąpiły im drogę i zatrzyma</w:t>
      </w:r>
      <w:r>
        <w:rPr>
          <w:rFonts w:ascii="Times New Roman" w:hAnsi="Times New Roman" w:cs="Times New Roman"/>
          <w:sz w:val="24"/>
          <w:szCs w:val="24"/>
          <w:lang w:val="pl-PL"/>
        </w:rPr>
        <w:t>ły</w:t>
      </w:r>
      <w:r w:rsidRPr="009C0834">
        <w:rPr>
          <w:rFonts w:ascii="Times New Roman" w:hAnsi="Times New Roman" w:cs="Times New Roman"/>
          <w:sz w:val="24"/>
          <w:szCs w:val="24"/>
          <w:lang w:val="pl-PL"/>
        </w:rPr>
        <w:t xml:space="preserve"> ich bez ostrzeżenia czy podania powodu. Obaj skarżący zaprzeczyli, jakoby otrzymali jakiekolwiek polecenia ze strony policji. Odnieśli się przed Sądem Pokoju do zeznań naocznych świadków, któr</w:t>
      </w:r>
      <w:r>
        <w:rPr>
          <w:rFonts w:ascii="Times New Roman" w:hAnsi="Times New Roman" w:cs="Times New Roman"/>
          <w:sz w:val="24"/>
          <w:szCs w:val="24"/>
          <w:lang w:val="pl-PL"/>
        </w:rPr>
        <w:t>z</w:t>
      </w:r>
      <w:r w:rsidRPr="009C0834">
        <w:rPr>
          <w:rFonts w:ascii="Times New Roman" w:hAnsi="Times New Roman" w:cs="Times New Roman"/>
          <w:sz w:val="24"/>
          <w:szCs w:val="24"/>
          <w:lang w:val="pl-PL"/>
        </w:rPr>
        <w:t xml:space="preserve">y twierdzili, że skarżący nie sprzeciwili się policji. </w:t>
      </w:r>
      <w:r>
        <w:rPr>
          <w:rFonts w:ascii="Times New Roman" w:hAnsi="Times New Roman" w:cs="Times New Roman"/>
          <w:sz w:val="24"/>
          <w:szCs w:val="24"/>
          <w:lang w:val="pl-PL"/>
        </w:rPr>
        <w:t>Skarżyli się, że sądy odrzuciły</w:t>
      </w:r>
      <w:r w:rsidRPr="009C0834">
        <w:rPr>
          <w:rFonts w:ascii="Times New Roman" w:hAnsi="Times New Roman" w:cs="Times New Roman"/>
          <w:sz w:val="24"/>
          <w:szCs w:val="24"/>
          <w:lang w:val="pl-PL"/>
        </w:rPr>
        <w:t xml:space="preserve"> t</w:t>
      </w:r>
      <w:r>
        <w:rPr>
          <w:rFonts w:ascii="Times New Roman" w:hAnsi="Times New Roman" w:cs="Times New Roman"/>
          <w:sz w:val="24"/>
          <w:szCs w:val="24"/>
          <w:lang w:val="pl-PL"/>
        </w:rPr>
        <w:t>e dowody</w:t>
      </w:r>
      <w:r w:rsidRPr="009C0834">
        <w:rPr>
          <w:rFonts w:ascii="Times New Roman" w:hAnsi="Times New Roman" w:cs="Times New Roman"/>
          <w:sz w:val="24"/>
          <w:szCs w:val="24"/>
          <w:lang w:val="pl-PL"/>
        </w:rPr>
        <w:t xml:space="preserve"> jako nieistotne i stronnicze.</w:t>
      </w:r>
    </w:p>
    <w:p w:rsidR="00A52C5C" w:rsidRDefault="00A52C5C" w:rsidP="0081165B">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48. Rząd przyjął, że zatrzymanie i </w:t>
      </w:r>
      <w:r>
        <w:rPr>
          <w:rFonts w:ascii="Times New Roman" w:hAnsi="Times New Roman" w:cs="Times New Roman"/>
          <w:sz w:val="24"/>
          <w:szCs w:val="24"/>
          <w:lang w:val="pl-PL"/>
        </w:rPr>
        <w:t>skazanie</w:t>
      </w:r>
      <w:r w:rsidRPr="009C0834">
        <w:rPr>
          <w:rFonts w:ascii="Times New Roman" w:hAnsi="Times New Roman" w:cs="Times New Roman"/>
          <w:sz w:val="24"/>
          <w:szCs w:val="24"/>
          <w:lang w:val="pl-PL"/>
        </w:rPr>
        <w:t xml:space="preserve"> skarżących za wykroczeni</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 xml:space="preserve"> administracyjne stanowiło ingerencję w ich wolność wyrażania opinii i wolność zgromadzeń.</w:t>
      </w:r>
      <w:r>
        <w:rPr>
          <w:rFonts w:ascii="Times New Roman" w:hAnsi="Times New Roman" w:cs="Times New Roman"/>
          <w:sz w:val="24"/>
          <w:szCs w:val="24"/>
          <w:lang w:val="pl-PL"/>
        </w:rPr>
        <w:t xml:space="preserve"> J</w:t>
      </w:r>
      <w:r w:rsidRPr="009C0834">
        <w:rPr>
          <w:rFonts w:ascii="Times New Roman" w:hAnsi="Times New Roman" w:cs="Times New Roman"/>
          <w:sz w:val="24"/>
          <w:szCs w:val="24"/>
          <w:lang w:val="pl-PL"/>
        </w:rPr>
        <w:t>ednak utrzymywał, że środki te były zgodne z prawem, dążyły do u</w:t>
      </w:r>
      <w:r>
        <w:rPr>
          <w:rFonts w:ascii="Times New Roman" w:hAnsi="Times New Roman" w:cs="Times New Roman"/>
          <w:sz w:val="24"/>
          <w:szCs w:val="24"/>
          <w:lang w:val="pl-PL"/>
        </w:rPr>
        <w:t>prawnionego</w:t>
      </w:r>
      <w:r w:rsidRPr="009C0834">
        <w:rPr>
          <w:rFonts w:ascii="Times New Roman" w:hAnsi="Times New Roman" w:cs="Times New Roman"/>
          <w:sz w:val="24"/>
          <w:szCs w:val="24"/>
          <w:lang w:val="pl-PL"/>
        </w:rPr>
        <w:t xml:space="preserve"> celu polegającego na utrzymaniu porządku publicznego oraz były proporcjonalne do tego celu zgodnie z art. 10 § 2 oraz 11 § 2 Konwencji. Twierdził, że skarżący próbowali przeprowadzić spontaniczny publiczny marsz bez zezwolenia w centrum Moskwy, że policja zgodnie z prawem wezwała ich do przerwania marszu, jednak kontynuowali oni swoje niezgodne z prawem zachowanie i konieczne było ich rozproszenie i zatrzymanie.</w:t>
      </w:r>
    </w:p>
    <w:p w:rsidR="00A52C5C" w:rsidRDefault="00A52C5C" w:rsidP="0081165B">
      <w:pPr>
        <w:spacing w:after="0" w:line="240" w:lineRule="auto"/>
        <w:ind w:left="595" w:right="567" w:firstLine="285"/>
        <w:jc w:val="both"/>
        <w:rPr>
          <w:rFonts w:ascii="Times New Roman" w:hAnsi="Times New Roman" w:cs="Times New Roman"/>
          <w:sz w:val="24"/>
          <w:szCs w:val="24"/>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2. Ocena Trybunału</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231" w:right="567"/>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(a) Zakres skarg skarżących</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pStyle w:val="Styl1"/>
        <w:rPr>
          <w:lang/>
        </w:rPr>
      </w:pPr>
      <w:r w:rsidRPr="009C0834">
        <w:rPr>
          <w:lang/>
        </w:rPr>
        <w:t xml:space="preserve">49. Trybunał zauważa, że wobec okoliczności tej sprawy art. 10 należy uważać za </w:t>
      </w:r>
      <w:r w:rsidRPr="009C0834">
        <w:rPr>
          <w:i/>
          <w:iCs/>
          <w:lang/>
        </w:rPr>
        <w:t>lex generalis</w:t>
      </w:r>
      <w:r w:rsidRPr="009C0834">
        <w:rPr>
          <w:lang/>
        </w:rPr>
        <w:t xml:space="preserve"> w stosunku do art. 11, będącego </w:t>
      </w:r>
      <w:r w:rsidRPr="009C0834">
        <w:rPr>
          <w:i/>
          <w:iCs/>
          <w:lang/>
        </w:rPr>
        <w:t xml:space="preserve">lex specialis </w:t>
      </w:r>
      <w:r w:rsidRPr="009C0834">
        <w:rPr>
          <w:lang/>
        </w:rPr>
        <w:t xml:space="preserve">(zob. </w:t>
      </w:r>
      <w:r w:rsidRPr="009C0834">
        <w:rPr>
          <w:i/>
          <w:iCs/>
          <w:lang/>
        </w:rPr>
        <w:t>Ezelin przeciwko Francji</w:t>
      </w:r>
      <w:r w:rsidRPr="009C0834">
        <w:rPr>
          <w:lang/>
        </w:rPr>
        <w:t xml:space="preserve">, 26 kwietnia 1991 r., § 35, Seria A nr 202, oraz </w:t>
      </w:r>
      <w:r w:rsidRPr="009C0834">
        <w:rPr>
          <w:i/>
          <w:iCs/>
          <w:lang/>
        </w:rPr>
        <w:t>Kasparov i Inni przeciwko Rosji</w:t>
      </w:r>
      <w:r w:rsidRPr="009C0834">
        <w:rPr>
          <w:lang/>
        </w:rPr>
        <w:t>, skarga nr 21613/07, §§ 82-83, 3 października 2013 r.). W związku z powyższym Trybunał rozpatrzy niniejszą skargę na podstawie art. 11 Konwencji.</w:t>
      </w:r>
    </w:p>
    <w:p w:rsidR="00A52C5C" w:rsidRPr="00B025B2" w:rsidRDefault="00A52C5C" w:rsidP="00A500BE">
      <w:pPr>
        <w:pStyle w:val="Styl1"/>
        <w:rPr>
          <w:lang/>
        </w:rPr>
      </w:pPr>
      <w:r w:rsidRPr="009C0834">
        <w:rPr>
          <w:lang/>
        </w:rPr>
        <w:t>50. Z drugiej strony</w:t>
      </w:r>
      <w:r>
        <w:rPr>
          <w:lang/>
        </w:rPr>
        <w:t>,</w:t>
      </w:r>
      <w:r w:rsidRPr="009C0834">
        <w:rPr>
          <w:lang/>
        </w:rPr>
        <w:t xml:space="preserve"> pomimo swojej autonomicznej roli i szczególnej sfery zastosowania, art. 11 należy rozważać </w:t>
      </w:r>
      <w:r>
        <w:rPr>
          <w:lang/>
        </w:rPr>
        <w:t>w obecnej sprawie</w:t>
      </w:r>
      <w:r w:rsidRPr="009C0834">
        <w:rPr>
          <w:lang/>
        </w:rPr>
        <w:t xml:space="preserve"> także w świetle art. 10. Ochrona indywidualnych opinii zapewniona w art. 10 jest jednym z celów prawa do swobodnego, pokojowego zgromadz</w:t>
      </w:r>
      <w:r>
        <w:rPr>
          <w:lang/>
        </w:rPr>
        <w:t>e</w:t>
      </w:r>
      <w:r w:rsidRPr="009C0834">
        <w:rPr>
          <w:lang/>
        </w:rPr>
        <w:t xml:space="preserve">nia się chronionego art. 11 (zob. </w:t>
      </w:r>
      <w:r w:rsidRPr="009C0834">
        <w:rPr>
          <w:i/>
          <w:iCs/>
          <w:lang/>
        </w:rPr>
        <w:t>Ezelin</w:t>
      </w:r>
      <w:r w:rsidRPr="009C0834">
        <w:rPr>
          <w:lang/>
        </w:rPr>
        <w:t>, op. cit., § 37).</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570" w:right="567" w:hanging="340"/>
        <w:jc w:val="both"/>
        <w:rPr>
          <w:rFonts w:ascii="Times New Roman" w:hAnsi="Times New Roman" w:cs="Times New Roman"/>
          <w:sz w:val="20"/>
          <w:szCs w:val="20"/>
          <w:lang w:val="pl-PL"/>
        </w:rPr>
      </w:pPr>
      <w:r w:rsidRPr="009C0834">
        <w:rPr>
          <w:rFonts w:ascii="Times New Roman" w:hAnsi="Times New Roman" w:cs="Times New Roman"/>
          <w:b/>
          <w:bCs/>
          <w:sz w:val="20"/>
          <w:szCs w:val="20"/>
          <w:lang w:val="pl-PL"/>
        </w:rPr>
        <w:t>(b) Czy doszło do ingerencji w korzystanie z prawa do swobodnego, pokojowego zgromadz</w:t>
      </w:r>
      <w:r>
        <w:rPr>
          <w:rFonts w:ascii="Times New Roman" w:hAnsi="Times New Roman" w:cs="Times New Roman"/>
          <w:b/>
          <w:bCs/>
          <w:sz w:val="20"/>
          <w:szCs w:val="20"/>
          <w:lang w:val="pl-PL"/>
        </w:rPr>
        <w:t>e</w:t>
      </w:r>
      <w:r w:rsidRPr="009C0834">
        <w:rPr>
          <w:rFonts w:ascii="Times New Roman" w:hAnsi="Times New Roman" w:cs="Times New Roman"/>
          <w:b/>
          <w:bCs/>
          <w:sz w:val="20"/>
          <w:szCs w:val="20"/>
          <w:lang w:val="pl-PL"/>
        </w:rPr>
        <w:t>nia się?</w:t>
      </w:r>
    </w:p>
    <w:p w:rsidR="00A52C5C" w:rsidRPr="00B025B2" w:rsidRDefault="00A52C5C" w:rsidP="00A500BE">
      <w:pPr>
        <w:spacing w:after="0" w:line="240" w:lineRule="auto"/>
        <w:ind w:right="567"/>
        <w:jc w:val="both"/>
        <w:rPr>
          <w:sz w:val="11"/>
          <w:szCs w:val="11"/>
          <w:lang w:val="pl-PL"/>
        </w:rPr>
      </w:pPr>
    </w:p>
    <w:p w:rsidR="00A52C5C" w:rsidRPr="00B025B2" w:rsidRDefault="00A52C5C" w:rsidP="00500F8C">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51. Trybunał pragnie przypomnieć, że ingerencja w korzystanie z prawa do swobodnego,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nie musi polegać na bezpośrednim zakazie – prawnym lub faktycznym – ale może obejmować inne środki podejmowane przez władze. Pojęcie „ograniczeń” w art. 11 § 2 należy interpretować zarówno jako środki podejmowane przed lub w czasie zgromadzenia, jak i środki</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takie jak środki karne</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podejmowane po wydarzeniu (zob. </w:t>
      </w:r>
      <w:r w:rsidRPr="009C0834">
        <w:rPr>
          <w:rFonts w:ascii="Times New Roman" w:hAnsi="Times New Roman" w:cs="Times New Roman"/>
          <w:i/>
          <w:iCs/>
          <w:sz w:val="24"/>
          <w:szCs w:val="24"/>
          <w:lang w:val="pl-PL"/>
        </w:rPr>
        <w:t>Ezelin</w:t>
      </w:r>
      <w:r w:rsidRPr="009C0834">
        <w:rPr>
          <w:rFonts w:ascii="Times New Roman" w:hAnsi="Times New Roman" w:cs="Times New Roman"/>
          <w:sz w:val="24"/>
          <w:szCs w:val="24"/>
          <w:lang w:val="pl-PL"/>
        </w:rPr>
        <w:t>; op. cit., § 39). Na przykład</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wcześniejszy zakaz może mieć studzący wpływ na osoby, które mają zamiar wziąć udział w wiecu, a przez to może stanowić ingerencję, nawet jeżeli wiec będzie potem przebiegać bez przeszkód ze strony władz (zob. </w:t>
      </w:r>
      <w:r w:rsidRPr="009C0834">
        <w:rPr>
          <w:rFonts w:ascii="Times New Roman" w:hAnsi="Times New Roman" w:cs="Times New Roman"/>
          <w:i/>
          <w:iCs/>
          <w:sz w:val="24"/>
          <w:szCs w:val="24"/>
          <w:lang w:val="pl-PL"/>
        </w:rPr>
        <w:t>Bączkowski i Inni przeciwko Polsce</w:t>
      </w:r>
      <w:r w:rsidRPr="009C0834">
        <w:rPr>
          <w:rFonts w:ascii="Times New Roman" w:hAnsi="Times New Roman" w:cs="Times New Roman"/>
          <w:sz w:val="24"/>
          <w:szCs w:val="24"/>
          <w:lang w:val="pl-PL"/>
        </w:rPr>
        <w:t xml:space="preserve">, skarga nr 1543/06, § 66-68, 3 maja 2007 r.). Ingerencję stanowi również odmowa zezwolenia na podróż w celu wzięcia udziału w zebraniu (zob. </w:t>
      </w:r>
      <w:r w:rsidRPr="009C0834">
        <w:rPr>
          <w:rFonts w:ascii="Times New Roman" w:hAnsi="Times New Roman" w:cs="Times New Roman"/>
          <w:i/>
          <w:iCs/>
          <w:sz w:val="24"/>
          <w:szCs w:val="24"/>
          <w:lang w:val="pl-PL"/>
        </w:rPr>
        <w:t>Djavit An przeciwko Turcji</w:t>
      </w:r>
      <w:r w:rsidRPr="009C0834">
        <w:rPr>
          <w:rFonts w:ascii="Times New Roman" w:hAnsi="Times New Roman" w:cs="Times New Roman"/>
          <w:sz w:val="24"/>
          <w:szCs w:val="24"/>
          <w:lang w:val="pl-PL"/>
        </w:rPr>
        <w:t xml:space="preserve"> skarga nr 20652/92, §§ 59-62 ETPC 2003-III). To samo tyczy się środków podejmowanych przez władze w czasie wiecu jak np. rozproszenie wiecu czy zatrzymanie uczestników (zob. </w:t>
      </w:r>
      <w:r w:rsidRPr="009C0834">
        <w:rPr>
          <w:rFonts w:ascii="Times New Roman" w:hAnsi="Times New Roman" w:cs="Times New Roman"/>
          <w:i/>
          <w:iCs/>
          <w:sz w:val="24"/>
          <w:szCs w:val="24"/>
          <w:lang w:val="pl-PL"/>
        </w:rPr>
        <w:t>Oya Ataman przeciwko Turcji</w:t>
      </w:r>
      <w:r w:rsidRPr="009C0834">
        <w:rPr>
          <w:rFonts w:ascii="Times New Roman" w:hAnsi="Times New Roman" w:cs="Times New Roman"/>
          <w:sz w:val="24"/>
          <w:szCs w:val="24"/>
          <w:lang w:val="pl-PL"/>
        </w:rPr>
        <w:t xml:space="preserve">, skarga nr 74552/01, §§ 7 i 30, ETPC 2006-XIII, oraz </w:t>
      </w:r>
      <w:r w:rsidRPr="009C0834">
        <w:rPr>
          <w:rFonts w:ascii="Times New Roman" w:hAnsi="Times New Roman" w:cs="Times New Roman"/>
          <w:i/>
          <w:iCs/>
          <w:sz w:val="24"/>
          <w:szCs w:val="24"/>
          <w:lang w:val="pl-PL"/>
        </w:rPr>
        <w:t>Hyde Park i Inni przeciwko Mołdawii</w:t>
      </w:r>
      <w:r w:rsidRPr="009C0834">
        <w:rPr>
          <w:rFonts w:ascii="Times New Roman" w:hAnsi="Times New Roman" w:cs="Times New Roman"/>
          <w:sz w:val="24"/>
          <w:szCs w:val="24"/>
          <w:lang w:val="pl-PL"/>
        </w:rPr>
        <w:t xml:space="preserve">, skarga nr 33482/06, §§ 9, 13, 16, 41, 44 i 48, 31 marca 2009 r.), czy kary nakładane za wzięcie udziału w wiecu (zob. </w:t>
      </w:r>
      <w:r w:rsidRPr="009C0834">
        <w:rPr>
          <w:rFonts w:ascii="Times New Roman" w:hAnsi="Times New Roman" w:cs="Times New Roman"/>
          <w:i/>
          <w:iCs/>
          <w:sz w:val="24"/>
          <w:szCs w:val="24"/>
          <w:lang w:val="pl-PL"/>
        </w:rPr>
        <w:t>Ezelin</w:t>
      </w:r>
      <w:r w:rsidRPr="009C0834">
        <w:rPr>
          <w:rFonts w:ascii="Times New Roman" w:hAnsi="Times New Roman" w:cs="Times New Roman"/>
          <w:sz w:val="24"/>
          <w:szCs w:val="24"/>
          <w:lang w:val="pl-PL"/>
        </w:rPr>
        <w:t xml:space="preserve">, op. cit., § 41; </w:t>
      </w:r>
      <w:r w:rsidRPr="009C0834">
        <w:rPr>
          <w:rFonts w:ascii="Times New Roman" w:hAnsi="Times New Roman" w:cs="Times New Roman"/>
          <w:i/>
          <w:iCs/>
          <w:sz w:val="24"/>
          <w:szCs w:val="24"/>
          <w:lang w:val="pl-PL"/>
        </w:rPr>
        <w:t xml:space="preserve">Osmani i Inni przeciwko „Byłej Jugosłowiańskiej Republice Macedonii” </w:t>
      </w:r>
      <w:r w:rsidRPr="009C0834">
        <w:rPr>
          <w:rFonts w:ascii="Times New Roman" w:hAnsi="Times New Roman" w:cs="Times New Roman"/>
          <w:sz w:val="24"/>
          <w:szCs w:val="24"/>
          <w:lang w:val="pl-PL"/>
        </w:rPr>
        <w:t xml:space="preserve">(dec.), skarga nr 50841/99,ETPC 2001-X; </w:t>
      </w:r>
      <w:r w:rsidRPr="009C0834">
        <w:rPr>
          <w:rFonts w:ascii="Times New Roman" w:hAnsi="Times New Roman" w:cs="Times New Roman"/>
          <w:i/>
          <w:iCs/>
          <w:sz w:val="24"/>
          <w:szCs w:val="24"/>
          <w:lang w:val="pl-PL"/>
        </w:rPr>
        <w:t>Mkrtchyan przeciwko Armenii</w:t>
      </w:r>
      <w:r w:rsidRPr="009C0834">
        <w:rPr>
          <w:rFonts w:ascii="Times New Roman" w:hAnsi="Times New Roman" w:cs="Times New Roman"/>
          <w:sz w:val="24"/>
          <w:szCs w:val="24"/>
          <w:lang w:val="pl-PL"/>
        </w:rPr>
        <w:t xml:space="preserve">, skarga nr 6562/03, § 37, 11 stycznia 2007 r.; </w:t>
      </w:r>
      <w:r w:rsidRPr="009C0834">
        <w:rPr>
          <w:rFonts w:ascii="Times New Roman" w:hAnsi="Times New Roman" w:cs="Times New Roman"/>
          <w:i/>
          <w:iCs/>
          <w:sz w:val="24"/>
          <w:szCs w:val="24"/>
          <w:lang w:val="pl-PL"/>
        </w:rPr>
        <w:t>Galstyan przeciwko Armenii</w:t>
      </w:r>
      <w:r w:rsidRPr="009C0834">
        <w:rPr>
          <w:rFonts w:ascii="Times New Roman" w:hAnsi="Times New Roman" w:cs="Times New Roman"/>
          <w:sz w:val="24"/>
          <w:szCs w:val="24"/>
          <w:lang w:val="pl-PL"/>
        </w:rPr>
        <w:t>, skarga nr 26986/03,</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 xml:space="preserve">§§ 100-102, 15 listopada 2007 r.; </w:t>
      </w:r>
      <w:r w:rsidRPr="009C0834">
        <w:rPr>
          <w:rFonts w:ascii="Times New Roman" w:hAnsi="Times New Roman" w:cs="Times New Roman"/>
          <w:i/>
          <w:iCs/>
          <w:sz w:val="24"/>
          <w:szCs w:val="24"/>
          <w:lang w:val="pl-PL"/>
        </w:rPr>
        <w:t>Ashughyan przeciwko Armenii</w:t>
      </w:r>
      <w:r w:rsidRPr="009C0834">
        <w:rPr>
          <w:rFonts w:ascii="Times New Roman" w:hAnsi="Times New Roman" w:cs="Times New Roman"/>
          <w:sz w:val="24"/>
          <w:szCs w:val="24"/>
          <w:lang w:val="pl-PL"/>
        </w:rPr>
        <w:t xml:space="preserve">, skarga nr 33268/03, §§ 75-77, 17 lipca 2008 r.; oraz </w:t>
      </w:r>
      <w:r w:rsidRPr="009C0834">
        <w:rPr>
          <w:rFonts w:ascii="Times New Roman" w:hAnsi="Times New Roman" w:cs="Times New Roman"/>
          <w:i/>
          <w:iCs/>
          <w:sz w:val="24"/>
          <w:szCs w:val="24"/>
          <w:lang w:val="pl-PL"/>
        </w:rPr>
        <w:t>Sergey Kuznetsov przeciwko Rosji</w:t>
      </w:r>
      <w:r w:rsidRPr="009C0834">
        <w:rPr>
          <w:rFonts w:ascii="Times New Roman" w:hAnsi="Times New Roman" w:cs="Times New Roman"/>
          <w:sz w:val="24"/>
          <w:szCs w:val="24"/>
          <w:lang w:val="pl-PL"/>
        </w:rPr>
        <w:t>, skarga nr 10877/04, § 36, 23 października 2008 r.).</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52. W </w:t>
      </w:r>
      <w:r>
        <w:rPr>
          <w:rFonts w:ascii="Times New Roman" w:hAnsi="Times New Roman" w:cs="Times New Roman"/>
          <w:sz w:val="24"/>
          <w:szCs w:val="24"/>
          <w:lang w:val="pl-PL"/>
        </w:rPr>
        <w:t>obecnej</w:t>
      </w:r>
      <w:r w:rsidRPr="009C0834">
        <w:rPr>
          <w:rFonts w:ascii="Times New Roman" w:hAnsi="Times New Roman" w:cs="Times New Roman"/>
          <w:sz w:val="24"/>
          <w:szCs w:val="24"/>
          <w:lang w:val="pl-PL"/>
        </w:rPr>
        <w:t xml:space="preserve"> sprawie Rząd podkreślił, że skarżący brali udział w nielegalnej demonstracji, która musiała zostać rozproszona, a ponieważ skarżący nie zastosowali się do polecenia przerwania marszu, konieczne było ich zatrzymanie w celu zachowania porządku publicznego. Stwierdził także, że skarżący zostali uznani winnymi wykroczenia administracyjnego, ponieważ nie wykonali polecenia policji nakazującego przerwanie marszu, wydanego zgodnie z art. 17.4 Federalnego prawa o zgromadzeniach. Przepis ten przewidywał </w:t>
      </w:r>
      <w:r>
        <w:rPr>
          <w:rFonts w:ascii="Times New Roman" w:hAnsi="Times New Roman" w:cs="Times New Roman"/>
          <w:sz w:val="24"/>
          <w:szCs w:val="24"/>
          <w:lang w:val="pl-PL"/>
        </w:rPr>
        <w:t xml:space="preserve">pociągnięcie do </w:t>
      </w:r>
      <w:r w:rsidRPr="009C0834">
        <w:rPr>
          <w:rFonts w:ascii="Times New Roman" w:hAnsi="Times New Roman" w:cs="Times New Roman"/>
          <w:sz w:val="24"/>
          <w:szCs w:val="24"/>
          <w:lang w:val="pl-PL"/>
        </w:rPr>
        <w:t>odpowiedzialności administracyjnej uczestników wydarzeń publicznych za niezastosowanie się do zgodnych z prawem poleceń policji. Skarżący ze swojej strony uważali, że w rzeczywistości ukarano ich za wzięcie udziału w legalnej demonstracji na Chistyye Prudy. Trybunał uważa, że niepodważalnie zachodził wyraźny i niekwestionowany związek pomiędzy skorzystaniem przez skarżących z prawa do swobodnego,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a środkami podjętymi przeciwko nim. Wobec powyższego ich zatrzymanie</w:t>
      </w:r>
      <w:r w:rsidRPr="00BF140B">
        <w:rPr>
          <w:rFonts w:ascii="Times New Roman" w:hAnsi="Times New Roman" w:cs="Times New Roman"/>
          <w:sz w:val="24"/>
          <w:szCs w:val="24"/>
          <w:lang w:val="pl-PL"/>
        </w:rPr>
        <w:t>, aresztowanie</w:t>
      </w:r>
      <w:r>
        <w:rPr>
          <w:rFonts w:ascii="Times New Roman" w:hAnsi="Times New Roman" w:cs="Times New Roman"/>
          <w:sz w:val="24"/>
          <w:szCs w:val="24"/>
          <w:lang w:val="pl-PL"/>
        </w:rPr>
        <w:t>, a</w:t>
      </w:r>
      <w:r w:rsidRPr="009C083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następnie postawienie </w:t>
      </w:r>
      <w:r w:rsidRPr="009C0834">
        <w:rPr>
          <w:rFonts w:ascii="Times New Roman" w:hAnsi="Times New Roman" w:cs="Times New Roman"/>
          <w:sz w:val="24"/>
          <w:szCs w:val="24"/>
          <w:lang w:val="pl-PL"/>
        </w:rPr>
        <w:t>z</w:t>
      </w:r>
      <w:r>
        <w:rPr>
          <w:rFonts w:ascii="Times New Roman" w:hAnsi="Times New Roman" w:cs="Times New Roman"/>
          <w:sz w:val="24"/>
          <w:szCs w:val="24"/>
          <w:lang w:val="pl-PL"/>
        </w:rPr>
        <w:t>arzutów administracyjnych stanowiło</w:t>
      </w:r>
      <w:r w:rsidRPr="009C0834">
        <w:rPr>
          <w:rFonts w:ascii="Times New Roman" w:hAnsi="Times New Roman" w:cs="Times New Roman"/>
          <w:sz w:val="24"/>
          <w:szCs w:val="24"/>
          <w:lang w:val="pl-PL"/>
        </w:rPr>
        <w:t xml:space="preserve"> ingerencję w korzystanie z prawa przysługującego im na mocy art. 11 Konwencji.</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231" w:right="567"/>
        <w:jc w:val="both"/>
        <w:rPr>
          <w:rFonts w:ascii="Times New Roman" w:hAnsi="Times New Roman" w:cs="Times New Roman"/>
          <w:sz w:val="20"/>
          <w:szCs w:val="20"/>
          <w:lang w:val="pl-PL"/>
        </w:rPr>
      </w:pPr>
      <w:r w:rsidRPr="004E6268">
        <w:rPr>
          <w:rFonts w:ascii="Times New Roman" w:hAnsi="Times New Roman" w:cs="Times New Roman"/>
          <w:b/>
          <w:bCs/>
          <w:sz w:val="20"/>
          <w:szCs w:val="20"/>
          <w:lang w:val="pl-PL"/>
        </w:rPr>
        <w:t>(c) Czy ingerencja była uzasadniona?</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53. Trybunał pragnie przypomnieć, że wolność zgromadzeń jest podstawowym prawem w społeczeństwie demokratycznym i jedną z podstaw takiego społeczeństwa (zob. m.in. </w:t>
      </w:r>
      <w:r w:rsidRPr="009C0834">
        <w:rPr>
          <w:rFonts w:ascii="Times New Roman" w:hAnsi="Times New Roman" w:cs="Times New Roman"/>
          <w:i/>
          <w:iCs/>
          <w:sz w:val="24"/>
          <w:szCs w:val="24"/>
          <w:lang w:val="pl-PL"/>
        </w:rPr>
        <w:t>Galstyan</w:t>
      </w:r>
      <w:r w:rsidRPr="009C0834">
        <w:rPr>
          <w:rFonts w:ascii="Times New Roman" w:hAnsi="Times New Roman" w:cs="Times New Roman"/>
          <w:sz w:val="24"/>
          <w:szCs w:val="24"/>
          <w:lang w:val="pl-PL"/>
        </w:rPr>
        <w:t xml:space="preserve">, op. cit., § 114). Prawo to, którego jednym z celów jest ochrona osobistych opinii, podlega wielu wyjątkom, które muszą być wąsko interpretowane i wymagają przekonującego uzasadnienia ograniczeń. Przy ustalaniu, czy ograniczenia praw i wolności zagwarantowanych Konwencją można uznać za „konieczne w społeczeństwie demokratycznym”, Układającym się Państwom przysługuje pewien ograniczony margines oceny. Ingerencja będzie uważana za „konieczną w demokratycznym społeczeństwie” z perspektywy </w:t>
      </w:r>
      <w:r>
        <w:rPr>
          <w:rFonts w:ascii="Times New Roman" w:hAnsi="Times New Roman" w:cs="Times New Roman"/>
          <w:sz w:val="24"/>
          <w:szCs w:val="24"/>
          <w:lang w:val="pl-PL"/>
        </w:rPr>
        <w:t>uprawnionego</w:t>
      </w:r>
      <w:r w:rsidRPr="009C0834">
        <w:rPr>
          <w:rFonts w:ascii="Times New Roman" w:hAnsi="Times New Roman" w:cs="Times New Roman"/>
          <w:sz w:val="24"/>
          <w:szCs w:val="24"/>
          <w:lang w:val="pl-PL"/>
        </w:rPr>
        <w:t xml:space="preserve"> celu, jeżeli będzie odpowiadała na „nadrzędną potrzebę społeczną”, a w szczególności jeżeli będzie proporcjonalna w stosunku do zamierzonego</w:t>
      </w:r>
      <w:r>
        <w:rPr>
          <w:rFonts w:ascii="Times New Roman" w:hAnsi="Times New Roman" w:cs="Times New Roman"/>
          <w:sz w:val="24"/>
          <w:szCs w:val="24"/>
          <w:lang w:val="pl-PL"/>
        </w:rPr>
        <w:t xml:space="preserve"> uprawnionego</w:t>
      </w:r>
      <w:r w:rsidRPr="009C0834">
        <w:rPr>
          <w:rFonts w:ascii="Times New Roman" w:hAnsi="Times New Roman" w:cs="Times New Roman"/>
          <w:sz w:val="24"/>
          <w:szCs w:val="24"/>
          <w:lang w:val="pl-PL"/>
        </w:rPr>
        <w:t xml:space="preserve"> celu, a powody przytoczone przez władze jako jej uzasadnienie są „istotne i wystarczające” (zob. np. </w:t>
      </w:r>
      <w:r w:rsidRPr="009C0834">
        <w:rPr>
          <w:rFonts w:ascii="Times New Roman" w:hAnsi="Times New Roman" w:cs="Times New Roman"/>
          <w:i/>
          <w:iCs/>
          <w:sz w:val="24"/>
          <w:szCs w:val="24"/>
          <w:lang w:val="pl-PL"/>
        </w:rPr>
        <w:t>Coster przeciwko Zjednoczonemu Królestwu</w:t>
      </w:r>
      <w:r w:rsidRPr="009C0834">
        <w:rPr>
          <w:rFonts w:ascii="Times New Roman" w:hAnsi="Times New Roman" w:cs="Times New Roman"/>
          <w:sz w:val="24"/>
          <w:szCs w:val="24"/>
          <w:lang w:val="pl-PL"/>
        </w:rPr>
        <w:t xml:space="preserve">[Wielka Izba], skarga nr </w:t>
      </w:r>
      <w:hyperlink r:id="rId12">
        <w:r w:rsidRPr="009C0834">
          <w:rPr>
            <w:rFonts w:ascii="Times New Roman" w:hAnsi="Times New Roman" w:cs="Times New Roman"/>
            <w:sz w:val="24"/>
            <w:szCs w:val="24"/>
            <w:lang w:val="pl-PL"/>
          </w:rPr>
          <w:t>24876/94</w:t>
        </w:r>
      </w:hyperlink>
      <w:r w:rsidRPr="009C0834">
        <w:rPr>
          <w:rFonts w:ascii="Times New Roman" w:hAnsi="Times New Roman" w:cs="Times New Roman"/>
          <w:sz w:val="24"/>
          <w:szCs w:val="24"/>
          <w:lang w:val="pl-PL"/>
        </w:rPr>
        <w:t xml:space="preserve">, § 104, 18 stycznia 2001 r., oraz </w:t>
      </w:r>
      <w:r w:rsidRPr="009C0834">
        <w:rPr>
          <w:rFonts w:ascii="Times New Roman" w:hAnsi="Times New Roman" w:cs="Times New Roman"/>
          <w:i/>
          <w:iCs/>
          <w:sz w:val="24"/>
          <w:szCs w:val="24"/>
          <w:lang w:val="pl-PL"/>
        </w:rPr>
        <w:t xml:space="preserve">S. i Marper przeciwko Zjednoczonemu Królestwu </w:t>
      </w:r>
      <w:r w:rsidRPr="009C0834">
        <w:rPr>
          <w:rFonts w:ascii="Times New Roman" w:hAnsi="Times New Roman" w:cs="Times New Roman"/>
          <w:sz w:val="24"/>
          <w:szCs w:val="24"/>
          <w:lang w:val="pl-PL"/>
        </w:rPr>
        <w:t xml:space="preserve">[Wielka Izba], skargi nr </w:t>
      </w:r>
      <w:hyperlink r:id="rId13">
        <w:r w:rsidRPr="009C0834">
          <w:rPr>
            <w:rFonts w:ascii="Times New Roman" w:hAnsi="Times New Roman" w:cs="Times New Roman"/>
            <w:sz w:val="24"/>
            <w:szCs w:val="24"/>
            <w:lang w:val="pl-PL"/>
          </w:rPr>
          <w:t xml:space="preserve">30562/04 </w:t>
        </w:r>
      </w:hyperlink>
      <w:r w:rsidRPr="009C0834">
        <w:rPr>
          <w:rFonts w:ascii="Times New Roman" w:hAnsi="Times New Roman" w:cs="Times New Roman"/>
          <w:sz w:val="24"/>
          <w:szCs w:val="24"/>
          <w:lang w:val="pl-PL"/>
        </w:rPr>
        <w:t xml:space="preserve">i </w:t>
      </w:r>
      <w:hyperlink r:id="rId14">
        <w:r w:rsidRPr="009C0834">
          <w:rPr>
            <w:rFonts w:ascii="Times New Roman" w:hAnsi="Times New Roman" w:cs="Times New Roman"/>
            <w:sz w:val="24"/>
            <w:szCs w:val="24"/>
            <w:lang w:val="pl-PL"/>
          </w:rPr>
          <w:t>30566/04</w:t>
        </w:r>
      </w:hyperlink>
      <w:r w:rsidRPr="009C0834">
        <w:rPr>
          <w:rFonts w:ascii="Times New Roman" w:hAnsi="Times New Roman" w:cs="Times New Roman"/>
          <w:sz w:val="24"/>
          <w:szCs w:val="24"/>
          <w:lang w:val="pl-PL"/>
        </w:rPr>
        <w:t xml:space="preserve">, § 101, ETPC 2008). W każdym przypadku to Trybunał wydaje ostateczne orzeczenie w sprawie zgodności ograniczeń z Konwencją. Powinien dokonywać tego, oceniając okoliczności konkretnej sprawy (zob. </w:t>
      </w:r>
      <w:r w:rsidRPr="009C0834">
        <w:rPr>
          <w:rFonts w:ascii="Times New Roman" w:hAnsi="Times New Roman" w:cs="Times New Roman"/>
          <w:i/>
          <w:iCs/>
          <w:sz w:val="24"/>
          <w:szCs w:val="24"/>
          <w:lang w:val="pl-PL"/>
        </w:rPr>
        <w:t>Osmani i Inni</w:t>
      </w:r>
      <w:r w:rsidRPr="009C0834">
        <w:rPr>
          <w:rFonts w:ascii="Times New Roman" w:hAnsi="Times New Roman" w:cs="Times New Roman"/>
          <w:sz w:val="24"/>
          <w:szCs w:val="24"/>
          <w:lang w:val="pl-PL"/>
        </w:rPr>
        <w:t>, op. cit.).</w:t>
      </w:r>
    </w:p>
    <w:p w:rsidR="00A52C5C" w:rsidRPr="00B025B2" w:rsidRDefault="00A52C5C" w:rsidP="00A500BE">
      <w:pPr>
        <w:pStyle w:val="Styl1"/>
        <w:rPr>
          <w:lang/>
        </w:rPr>
      </w:pPr>
      <w:r w:rsidRPr="009C0834">
        <w:rPr>
          <w:lang/>
        </w:rPr>
        <w:t>54. W świetle tych zasad, Trybunał rozpatrzy, czy ingerencja w prawo skarżących do pokojowego zgromadz</w:t>
      </w:r>
      <w:r>
        <w:rPr>
          <w:lang/>
        </w:rPr>
        <w:t>e</w:t>
      </w:r>
      <w:r w:rsidRPr="009C0834">
        <w:rPr>
          <w:lang/>
        </w:rPr>
        <w:t>nia się była zgodna z prawem, dążyła do u</w:t>
      </w:r>
      <w:r>
        <w:rPr>
          <w:lang/>
        </w:rPr>
        <w:t>praw</w:t>
      </w:r>
      <w:r w:rsidRPr="009C0834">
        <w:rPr>
          <w:lang/>
        </w:rPr>
        <w:t>nionego celu i była konieczna w społeczeństwie demokratycznym.</w:t>
      </w:r>
    </w:p>
    <w:p w:rsidR="00A52C5C" w:rsidRPr="00B025B2" w:rsidRDefault="00A52C5C" w:rsidP="00A500BE">
      <w:pPr>
        <w:pStyle w:val="Styl1"/>
        <w:rPr>
          <w:lang/>
        </w:rPr>
      </w:pPr>
      <w:r w:rsidRPr="009C0834">
        <w:rPr>
          <w:lang/>
        </w:rPr>
        <w:t>55. Trybunał pragnie zauważyć, że kwestionując zgodność z prawem podejmowanych przeciwko nim środków</w:t>
      </w:r>
      <w:r>
        <w:rPr>
          <w:lang/>
        </w:rPr>
        <w:t>,</w:t>
      </w:r>
      <w:r w:rsidRPr="009C0834">
        <w:rPr>
          <w:lang/>
        </w:rPr>
        <w:t xml:space="preserve"> skarżący podnieśli, że krajowe decyzje zostały oparte na niezgodnym z prawdą przedstawieniu faktów będących podstawą tych środków. W szczególności stwierdzili, że szli po chodniku, nie prowadząc marszu; zaprzeczyli, aby otrzymali polecenie zatrzymania się ze strony policji czy nie zastosowali się do jakiegokolwiek polecenia policji.</w:t>
      </w:r>
    </w:p>
    <w:p w:rsidR="00A52C5C" w:rsidRPr="00B025B2" w:rsidRDefault="00A52C5C" w:rsidP="00A500BE">
      <w:pPr>
        <w:pStyle w:val="Styl1"/>
        <w:rPr>
          <w:lang/>
        </w:rPr>
      </w:pPr>
      <w:r w:rsidRPr="009C0834">
        <w:rPr>
          <w:lang/>
        </w:rPr>
        <w:t>56. Bezsprzecznie 5 grudnia 2011 r. skarżący wzięli udział w legalnej i pokojowej demonstracji publicznej na Chistyye Prudy. Nie ma też wątpliwości co do tego, że po zebraniu skarżący szli około 1,5 km w grupie około 60-100 osób, aż zostali zatrzymani przez oddziały prewencji przy Teatralnym Proyezdzie 2. Według władz skarżący szli z bulwaru Chistoprudnyy, wzdłuż ul. Bolshaya Lubyanka, ul. Kuznetskiy Most i ul. Rozhdestvenka. Trasa ta nie była na żadnym etapie kwestionowana przez skarżących, więc Trybunał uzna ją za ustalony fakt. W tym kontekście twierdzenie skarżących, że w chwili zatrzymania szli w kierunku samochodu niedaleko stacji metra Kuznetskiy Most wydaje się niespójne, ponieważ musieli minąć ten punkt na długo przed dotarciem do miejsca, w którym zostali zatrzymani. W każdym razie oczywistym jest, że do tego momentu skarżący przeszli określoną odległość wraz z pewną liczbą innych osób. Bez względu na to, czy grupa ta wykrzykiwała hasła i czy szła po ulicy czy po chodniku uznanie tego tłumu przez władze za spontaniczny marsz nie było bezpodstawne, nawet jeżeli sami skarżący nie postrzegali go jako takiego.</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57. Jeśli chodzi o późniejsze starcie skarżących z oddziałami prewencji, strony nie zgadzają się co do tego, czy policja poleciła skarżącym przerwać marsz zanim zdecydowała o ich zatrzymaniu. Brak jest również porozumienia co do tego, czy skarżący odepchnęli funkcjonariuszy policji lub w inny sposób stawiali opór w chwili zatrzymania.</w:t>
      </w:r>
    </w:p>
    <w:p w:rsidR="00A52C5C" w:rsidRPr="00B025B2" w:rsidRDefault="00A52C5C" w:rsidP="00A500BE">
      <w:pPr>
        <w:pStyle w:val="Styl1"/>
        <w:rPr>
          <w:lang/>
        </w:rPr>
      </w:pPr>
      <w:r w:rsidRPr="009C0834">
        <w:rPr>
          <w:lang/>
        </w:rPr>
        <w:t>58. Funkcjonariusze policji I. i F. twierdzili, że kilkukrotnie ostrzegli skarżących przed ich zatrzymaniem i utrzymywali, że skarżący najpierw zignorowali te ostrzeżenia, a potem stawiali opór w chwili zatrzymania. Zeznania przedstawiające sprzeczny obraz wydarzeń złożone przez obydwu skarżących i trzech innych świadków zostały odrzucone przez sądy ze względu na ich rozbieżność z oświadczeniami I. i F. na podstawie braku powodu, dla którego I. i F. mieliby pomawiać oskarżonych. Biorąc pod uwagę bieżące akta Trybunał nie dysponuje wystarczającym materiałem na poparcie którejkolwiek z wersji wydarzeń przedstawionych przez strony i nie jest w stanie ustalić, czy policja wydała jakiekolwiek polecenia przed przystąpieniem do zatrzymania.</w:t>
      </w:r>
    </w:p>
    <w:p w:rsidR="00A52C5C" w:rsidRPr="00B025B2" w:rsidRDefault="00A52C5C" w:rsidP="00556715">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59. W konsekwencji Trybunał nie może orzec na podstawie dostępnych mu dowodów, czy władze działały zgodnie z prawem.</w:t>
      </w:r>
      <w:r>
        <w:rPr>
          <w:rFonts w:ascii="Times New Roman" w:hAnsi="Times New Roman" w:cs="Times New Roman"/>
          <w:sz w:val="24"/>
          <w:szCs w:val="24"/>
          <w:lang w:val="pl-PL"/>
        </w:rPr>
        <w:t xml:space="preserve"> W</w:t>
      </w:r>
      <w:r w:rsidRPr="009C0834">
        <w:rPr>
          <w:rFonts w:ascii="Times New Roman" w:hAnsi="Times New Roman" w:cs="Times New Roman"/>
          <w:sz w:val="24"/>
          <w:szCs w:val="24"/>
          <w:lang w:val="pl-PL"/>
        </w:rPr>
        <w:t xml:space="preserve"> każdym razie uważa, że w tej sprawie zgodność z prawem jest nierozerwalnie związana z pytaniem, czy ingerencja była „konieczna w społeczeństwie demokratycznym”. Dlatego zbada tę kwestię poniżej (zob. </w:t>
      </w:r>
      <w:r w:rsidRPr="009C0834">
        <w:rPr>
          <w:rFonts w:ascii="Times New Roman" w:hAnsi="Times New Roman" w:cs="Times New Roman"/>
          <w:i/>
          <w:iCs/>
          <w:sz w:val="24"/>
          <w:szCs w:val="24"/>
          <w:lang w:val="pl-PL"/>
        </w:rPr>
        <w:t>Chrześcijańsko-Demokratyczna Partia Ludowa przeciwko Mołdawii</w:t>
      </w:r>
      <w:r w:rsidRPr="009C0834">
        <w:rPr>
          <w:rFonts w:ascii="Times New Roman" w:hAnsi="Times New Roman" w:cs="Times New Roman"/>
          <w:sz w:val="24"/>
          <w:szCs w:val="24"/>
          <w:lang w:val="pl-PL"/>
        </w:rPr>
        <w:t>, skarga nr 28793/02, § 53 ETPC 2006-II).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60. Wracając do istnienia u</w:t>
      </w:r>
      <w:r>
        <w:rPr>
          <w:rFonts w:ascii="Times New Roman" w:hAnsi="Times New Roman" w:cs="Times New Roman"/>
          <w:sz w:val="24"/>
          <w:szCs w:val="24"/>
          <w:lang w:val="pl-PL"/>
        </w:rPr>
        <w:t>praw</w:t>
      </w:r>
      <w:r w:rsidRPr="009C0834">
        <w:rPr>
          <w:rFonts w:ascii="Times New Roman" w:hAnsi="Times New Roman" w:cs="Times New Roman"/>
          <w:sz w:val="24"/>
          <w:szCs w:val="24"/>
          <w:lang w:val="pl-PL"/>
        </w:rPr>
        <w:t xml:space="preserve">nionego celu, Trybunał przyjmie, że – jak twierdzi Rząd – zatrzymanie skarżących i uznanie ich winnymi wykroczenia administracyjnego </w:t>
      </w:r>
      <w:r>
        <w:rPr>
          <w:rFonts w:ascii="Times New Roman" w:hAnsi="Times New Roman" w:cs="Times New Roman"/>
          <w:sz w:val="24"/>
          <w:szCs w:val="24"/>
          <w:lang w:val="pl-PL"/>
        </w:rPr>
        <w:t xml:space="preserve">zmierzało do osiągnięcia </w:t>
      </w:r>
      <w:r w:rsidRPr="009C0834">
        <w:rPr>
          <w:rFonts w:ascii="Times New Roman" w:hAnsi="Times New Roman" w:cs="Times New Roman"/>
          <w:sz w:val="24"/>
          <w:szCs w:val="24"/>
          <w:lang w:val="pl-PL"/>
        </w:rPr>
        <w:t>u</w:t>
      </w:r>
      <w:r>
        <w:rPr>
          <w:rFonts w:ascii="Times New Roman" w:hAnsi="Times New Roman" w:cs="Times New Roman"/>
          <w:sz w:val="24"/>
          <w:szCs w:val="24"/>
          <w:lang w:val="pl-PL"/>
        </w:rPr>
        <w:t>prawn</w:t>
      </w:r>
      <w:r w:rsidRPr="009C0834">
        <w:rPr>
          <w:rFonts w:ascii="Times New Roman" w:hAnsi="Times New Roman" w:cs="Times New Roman"/>
          <w:sz w:val="24"/>
          <w:szCs w:val="24"/>
          <w:lang w:val="pl-PL"/>
        </w:rPr>
        <w:t>ionego celu polegającego na utrzymaniu porządku publicznego.</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61. Aby ocenić, czy ingerencja była „konieczna w społeczeństwie demokratycznym” Trybunał przyjrzy się proporcjonalności środków podjętych przeciwko skarżącym w świetle uzasadnień przedstawionych przez sądy krajowe. Zauważa, że </w:t>
      </w:r>
      <w:r>
        <w:rPr>
          <w:rFonts w:ascii="Times New Roman" w:hAnsi="Times New Roman" w:cs="Times New Roman"/>
          <w:sz w:val="24"/>
          <w:szCs w:val="24"/>
          <w:lang w:val="pl-PL"/>
        </w:rPr>
        <w:t>w obecnej sprawie</w:t>
      </w:r>
      <w:r w:rsidRPr="009C0834">
        <w:rPr>
          <w:rFonts w:ascii="Times New Roman" w:hAnsi="Times New Roman" w:cs="Times New Roman"/>
          <w:sz w:val="24"/>
          <w:szCs w:val="24"/>
          <w:lang w:val="pl-PL"/>
        </w:rPr>
        <w:t xml:space="preserve"> środki te obejmowały przerwanie marszu, zatrzymanie skarżących i uznanie ich winnymi wykroczenia administracyjnego. Trybunał zbada proporcjonalność każdego z nich.</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428" w:right="567"/>
        <w:jc w:val="both"/>
        <w:rPr>
          <w:rFonts w:ascii="Times New Roman" w:hAnsi="Times New Roman" w:cs="Times New Roman"/>
          <w:sz w:val="20"/>
          <w:szCs w:val="20"/>
          <w:lang w:val="pl-PL"/>
        </w:rPr>
      </w:pPr>
      <w:r w:rsidRPr="009C0834">
        <w:rPr>
          <w:rFonts w:ascii="Times New Roman" w:hAnsi="Times New Roman" w:cs="Times New Roman"/>
          <w:i/>
          <w:iCs/>
          <w:sz w:val="20"/>
          <w:szCs w:val="20"/>
          <w:lang w:val="pl-PL"/>
        </w:rPr>
        <w:t>(i) Przerwanie marszu</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62. Zgodnie z wyrokami krajowymi czyny zarzucane skarżącym obejmowały prowadzenie spontanicznego marszu wbrew przepisom i kontynuowanie go pomimo poleceń zakończenia demonstracji. Trybunał ustalił w związku z tym, że nawet jeżeli skarżący nie mieli zamiaru prowadzić marszu, pojawienie się dużej grupy protestujących poruszających się w skupisku mogło być rozsądnie postrzegane jako takie (zob. paragraf 56 wyżej). To, czy marsz ten był nie do przyjęcia oraz ewentualne środki, po jakie musiała sięgnąć policja w tych okolicznościach, zależały od stopnia uciążliwości, jakie pochód ten powodował.</w:t>
      </w:r>
    </w:p>
    <w:p w:rsidR="00A52C5C" w:rsidRPr="00B025B2" w:rsidRDefault="00A52C5C" w:rsidP="004968CB">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63. Trybunał pragnie przypomnieć, że choć wymaganie przez Wysoką Układającą się Stronę, aby ze względu na porządek publiczny i bezpieczeństwo narodowe organizowanie zebrań podlegało systemowi zezwoleń, nie jest </w:t>
      </w:r>
      <w:r w:rsidRPr="009C0834">
        <w:rPr>
          <w:rFonts w:ascii="Times New Roman" w:hAnsi="Times New Roman" w:cs="Times New Roman"/>
          <w:i/>
          <w:iCs/>
          <w:sz w:val="24"/>
          <w:szCs w:val="24"/>
          <w:lang w:val="pl-PL"/>
        </w:rPr>
        <w:t xml:space="preserve">a priori </w:t>
      </w:r>
      <w:r>
        <w:rPr>
          <w:rFonts w:ascii="Times New Roman" w:hAnsi="Times New Roman" w:cs="Times New Roman"/>
          <w:sz w:val="24"/>
          <w:szCs w:val="24"/>
          <w:lang w:val="pl-PL"/>
        </w:rPr>
        <w:t>sprzeczne z duchem art. 11, to jednak</w:t>
      </w:r>
      <w:r w:rsidRPr="009C0834">
        <w:rPr>
          <w:rFonts w:ascii="Times New Roman" w:hAnsi="Times New Roman" w:cs="Times New Roman"/>
          <w:sz w:val="24"/>
          <w:szCs w:val="24"/>
          <w:lang w:val="pl-PL"/>
        </w:rPr>
        <w:t xml:space="preserve"> sytuacja niezgodna z prawem, np. zorganizowanie demonstracji bez wcześniejszego zezwolenia, nie usprawiedliwia naruszenia wolności zgromadzeń (zob. </w:t>
      </w:r>
      <w:r w:rsidRPr="009C0834">
        <w:rPr>
          <w:rFonts w:ascii="Times New Roman" w:hAnsi="Times New Roman" w:cs="Times New Roman"/>
          <w:i/>
          <w:iCs/>
          <w:sz w:val="24"/>
          <w:szCs w:val="24"/>
          <w:lang w:val="pl-PL"/>
        </w:rPr>
        <w:t>Cisse przeciwko Francji</w:t>
      </w:r>
      <w:r w:rsidRPr="009C0834">
        <w:rPr>
          <w:rFonts w:ascii="Times New Roman" w:hAnsi="Times New Roman" w:cs="Times New Roman"/>
          <w:sz w:val="24"/>
          <w:szCs w:val="24"/>
          <w:lang w:val="pl-PL"/>
        </w:rPr>
        <w:t xml:space="preserve">, skarga nr 51346/99, § 50, ETPC 2002-III oraz </w:t>
      </w:r>
      <w:r w:rsidRPr="009C0834">
        <w:rPr>
          <w:rFonts w:ascii="Times New Roman" w:hAnsi="Times New Roman" w:cs="Times New Roman"/>
          <w:i/>
          <w:iCs/>
          <w:sz w:val="24"/>
          <w:szCs w:val="24"/>
          <w:lang w:val="pl-PL"/>
        </w:rPr>
        <w:t>Oya Ataman</w:t>
      </w:r>
      <w:r w:rsidRPr="009C0834">
        <w:rPr>
          <w:rFonts w:ascii="Times New Roman" w:hAnsi="Times New Roman" w:cs="Times New Roman"/>
          <w:sz w:val="24"/>
          <w:szCs w:val="24"/>
          <w:lang w:val="pl-PL"/>
        </w:rPr>
        <w:t xml:space="preserve">, op. cit., §§ 37 i 39). Chociaż zasady regulujące zgromadzenia publiczne, takie jak system wcześniejszego powiadamiania, są kluczowe dla </w:t>
      </w:r>
      <w:r>
        <w:rPr>
          <w:rFonts w:ascii="Times New Roman" w:hAnsi="Times New Roman" w:cs="Times New Roman"/>
          <w:sz w:val="24"/>
          <w:szCs w:val="24"/>
          <w:lang w:val="pl-PL"/>
        </w:rPr>
        <w:t xml:space="preserve">zapewnienia </w:t>
      </w:r>
      <w:r w:rsidRPr="009C0834">
        <w:rPr>
          <w:rFonts w:ascii="Times New Roman" w:hAnsi="Times New Roman" w:cs="Times New Roman"/>
          <w:sz w:val="24"/>
          <w:szCs w:val="24"/>
          <w:lang w:val="pl-PL"/>
        </w:rPr>
        <w:t>płynnego prze</w:t>
      </w:r>
      <w:r>
        <w:rPr>
          <w:rFonts w:ascii="Times New Roman" w:hAnsi="Times New Roman" w:cs="Times New Roman"/>
          <w:sz w:val="24"/>
          <w:szCs w:val="24"/>
          <w:lang w:val="pl-PL"/>
        </w:rPr>
        <w:t>biegu</w:t>
      </w:r>
      <w:r w:rsidRPr="009C0834">
        <w:rPr>
          <w:rFonts w:ascii="Times New Roman" w:hAnsi="Times New Roman" w:cs="Times New Roman"/>
          <w:sz w:val="24"/>
          <w:szCs w:val="24"/>
          <w:lang w:val="pl-PL"/>
        </w:rPr>
        <w:t xml:space="preserve"> wydarzeń publicznych, ponieważ pozwalają </w:t>
      </w:r>
      <w:r>
        <w:rPr>
          <w:rFonts w:ascii="Times New Roman" w:hAnsi="Times New Roman" w:cs="Times New Roman"/>
          <w:sz w:val="24"/>
          <w:szCs w:val="24"/>
          <w:lang w:val="pl-PL"/>
        </w:rPr>
        <w:t xml:space="preserve">one </w:t>
      </w:r>
      <w:r w:rsidRPr="009C0834">
        <w:rPr>
          <w:rFonts w:ascii="Times New Roman" w:hAnsi="Times New Roman" w:cs="Times New Roman"/>
          <w:sz w:val="24"/>
          <w:szCs w:val="24"/>
          <w:lang w:val="pl-PL"/>
        </w:rPr>
        <w:t>władzom na ograniczenie utrudnień w ruchu i podjęcie innych środków bezpieczeństwa, ich egzekwowanie nie może stać się celem samym w sobie. W szczególności</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w sytuacjach, </w:t>
      </w:r>
      <w:r>
        <w:rPr>
          <w:rFonts w:ascii="Times New Roman" w:hAnsi="Times New Roman" w:cs="Times New Roman"/>
          <w:sz w:val="24"/>
          <w:szCs w:val="24"/>
          <w:lang w:val="pl-PL"/>
        </w:rPr>
        <w:t>w których</w:t>
      </w:r>
      <w:r w:rsidRPr="009C0834">
        <w:rPr>
          <w:rFonts w:ascii="Times New Roman" w:hAnsi="Times New Roman" w:cs="Times New Roman"/>
          <w:sz w:val="24"/>
          <w:szCs w:val="24"/>
          <w:lang w:val="pl-PL"/>
        </w:rPr>
        <w:t xml:space="preserve"> osoby biorące udział w niezgodnej z prawem demonstracji nie dokonują aktów przemocy, Trybunał wymagał, aby władze publiczne wykazały pewien stopień tolerancji wobec pokojowych zgromadzeń, </w:t>
      </w:r>
      <w:r>
        <w:rPr>
          <w:rFonts w:ascii="Times New Roman" w:hAnsi="Times New Roman" w:cs="Times New Roman"/>
          <w:sz w:val="24"/>
          <w:szCs w:val="24"/>
          <w:lang w:val="pl-PL"/>
        </w:rPr>
        <w:t xml:space="preserve">tak </w:t>
      </w:r>
      <w:r w:rsidRPr="009C0834">
        <w:rPr>
          <w:rFonts w:ascii="Times New Roman" w:hAnsi="Times New Roman" w:cs="Times New Roman"/>
          <w:sz w:val="24"/>
          <w:szCs w:val="24"/>
          <w:lang w:val="pl-PL"/>
        </w:rPr>
        <w:t xml:space="preserve">aby wolność zgromadzeń zagwarantowana </w:t>
      </w:r>
      <w:r>
        <w:rPr>
          <w:rFonts w:ascii="Times New Roman" w:hAnsi="Times New Roman" w:cs="Times New Roman"/>
          <w:sz w:val="24"/>
          <w:szCs w:val="24"/>
          <w:lang w:val="pl-PL"/>
        </w:rPr>
        <w:t xml:space="preserve">przez </w:t>
      </w:r>
      <w:r w:rsidRPr="009C0834">
        <w:rPr>
          <w:rFonts w:ascii="Times New Roman" w:hAnsi="Times New Roman" w:cs="Times New Roman"/>
          <w:sz w:val="24"/>
          <w:szCs w:val="24"/>
          <w:lang w:val="pl-PL"/>
        </w:rPr>
        <w:t xml:space="preserve">art. 11 Konwencji nie została pozbawiona całej istoty (ibid., § 42; zob. także </w:t>
      </w:r>
      <w:r w:rsidRPr="009C0834">
        <w:rPr>
          <w:rFonts w:ascii="Times New Roman" w:hAnsi="Times New Roman" w:cs="Times New Roman"/>
          <w:i/>
          <w:iCs/>
          <w:sz w:val="24"/>
          <w:szCs w:val="24"/>
          <w:lang w:val="pl-PL"/>
        </w:rPr>
        <w:t>Bukta i Inni przeciwko Węgrom</w:t>
      </w:r>
      <w:r w:rsidRPr="009C0834">
        <w:rPr>
          <w:rFonts w:ascii="Times New Roman" w:hAnsi="Times New Roman" w:cs="Times New Roman"/>
          <w:sz w:val="24"/>
          <w:szCs w:val="24"/>
          <w:lang w:val="pl-PL"/>
        </w:rPr>
        <w:t xml:space="preserve">, skarga nr </w:t>
      </w:r>
      <w:hyperlink r:id="rId15">
        <w:r w:rsidRPr="009C0834">
          <w:rPr>
            <w:rFonts w:ascii="Times New Roman" w:hAnsi="Times New Roman" w:cs="Times New Roman"/>
            <w:sz w:val="24"/>
            <w:szCs w:val="24"/>
            <w:lang w:val="pl-PL"/>
          </w:rPr>
          <w:t>25691/04</w:t>
        </w:r>
      </w:hyperlink>
      <w:r w:rsidRPr="009C0834">
        <w:rPr>
          <w:rFonts w:ascii="Times New Roman" w:hAnsi="Times New Roman" w:cs="Times New Roman"/>
          <w:sz w:val="24"/>
          <w:szCs w:val="24"/>
          <w:lang w:val="pl-PL"/>
        </w:rPr>
        <w:t xml:space="preserve">, § 34, ETPC 2007-III; </w:t>
      </w:r>
      <w:r w:rsidRPr="009C0834">
        <w:rPr>
          <w:rFonts w:ascii="Times New Roman" w:hAnsi="Times New Roman" w:cs="Times New Roman"/>
          <w:i/>
          <w:iCs/>
          <w:sz w:val="24"/>
          <w:szCs w:val="24"/>
          <w:lang w:val="pl-PL"/>
        </w:rPr>
        <w:t>Fáber przeciwko Węgrom</w:t>
      </w:r>
      <w:r w:rsidRPr="009C0834">
        <w:rPr>
          <w:rFonts w:ascii="Times New Roman" w:hAnsi="Times New Roman" w:cs="Times New Roman"/>
          <w:sz w:val="24"/>
          <w:szCs w:val="24"/>
          <w:lang w:val="pl-PL"/>
        </w:rPr>
        <w:t xml:space="preserve">, skarga nr </w:t>
      </w:r>
      <w:hyperlink r:id="rId16">
        <w:r w:rsidRPr="009C0834">
          <w:rPr>
            <w:rFonts w:ascii="Times New Roman" w:hAnsi="Times New Roman" w:cs="Times New Roman"/>
            <w:sz w:val="24"/>
            <w:szCs w:val="24"/>
            <w:lang w:val="pl-PL"/>
          </w:rPr>
          <w:t>40721/0</w:t>
        </w:r>
      </w:hyperlink>
      <w:r w:rsidRPr="009C0834">
        <w:rPr>
          <w:rFonts w:ascii="Times New Roman" w:hAnsi="Times New Roman" w:cs="Times New Roman"/>
          <w:sz w:val="24"/>
          <w:szCs w:val="24"/>
          <w:lang w:val="pl-PL"/>
        </w:rPr>
        <w:t xml:space="preserve">8, § 49, 24 lipca 2012 r.; </w:t>
      </w:r>
      <w:r w:rsidRPr="009C0834">
        <w:rPr>
          <w:rFonts w:ascii="Times New Roman" w:hAnsi="Times New Roman" w:cs="Times New Roman"/>
          <w:i/>
          <w:iCs/>
          <w:sz w:val="24"/>
          <w:szCs w:val="24"/>
          <w:lang w:val="pl-PL"/>
        </w:rPr>
        <w:t>Berladir i Inni przeciwko Rosji</w:t>
      </w:r>
      <w:r w:rsidRPr="009C0834">
        <w:rPr>
          <w:rFonts w:ascii="Times New Roman" w:hAnsi="Times New Roman" w:cs="Times New Roman"/>
          <w:sz w:val="24"/>
          <w:szCs w:val="24"/>
          <w:lang w:val="pl-PL"/>
        </w:rPr>
        <w:t xml:space="preserve">, skarga nr 34202/06, § 38, 10 lipca 2012 r.; </w:t>
      </w:r>
      <w:r w:rsidRPr="009C0834">
        <w:rPr>
          <w:rFonts w:ascii="Times New Roman" w:hAnsi="Times New Roman" w:cs="Times New Roman"/>
          <w:i/>
          <w:iCs/>
          <w:sz w:val="24"/>
          <w:szCs w:val="24"/>
          <w:lang w:val="pl-PL"/>
        </w:rPr>
        <w:t>Malofeyeva przeciwko Rosji</w:t>
      </w:r>
      <w:r w:rsidRPr="009C0834">
        <w:rPr>
          <w:rFonts w:ascii="Times New Roman" w:hAnsi="Times New Roman" w:cs="Times New Roman"/>
          <w:sz w:val="24"/>
          <w:szCs w:val="24"/>
          <w:lang w:val="pl-PL"/>
        </w:rPr>
        <w:t xml:space="preserve">, skarga nr 36673/04, §§ 136-37, 30 maja 2013 r., oraz </w:t>
      </w:r>
      <w:r w:rsidRPr="009C0834">
        <w:rPr>
          <w:rFonts w:ascii="Times New Roman" w:hAnsi="Times New Roman" w:cs="Times New Roman"/>
          <w:i/>
          <w:iCs/>
          <w:sz w:val="24"/>
          <w:szCs w:val="24"/>
          <w:lang w:val="pl-PL"/>
        </w:rPr>
        <w:t>Kasparov</w:t>
      </w:r>
      <w:r w:rsidRPr="009C0834">
        <w:rPr>
          <w:rFonts w:ascii="Times New Roman" w:hAnsi="Times New Roman" w:cs="Times New Roman"/>
          <w:sz w:val="24"/>
          <w:szCs w:val="24"/>
          <w:lang w:val="pl-PL"/>
        </w:rPr>
        <w:t>, op. cit., § 91).</w:t>
      </w:r>
    </w:p>
    <w:p w:rsidR="00A52C5C" w:rsidRPr="00B025B2" w:rsidRDefault="00A52C5C" w:rsidP="00A500BE">
      <w:pPr>
        <w:pStyle w:val="Styl1"/>
        <w:rPr>
          <w:lang/>
        </w:rPr>
      </w:pPr>
      <w:r w:rsidRPr="009C0834">
        <w:rPr>
          <w:lang/>
        </w:rPr>
        <w:t xml:space="preserve">64. W </w:t>
      </w:r>
      <w:r>
        <w:rPr>
          <w:lang/>
        </w:rPr>
        <w:t>obecnej</w:t>
      </w:r>
      <w:r w:rsidRPr="009C0834">
        <w:rPr>
          <w:lang/>
        </w:rPr>
        <w:t xml:space="preserve"> sprawie</w:t>
      </w:r>
      <w:r>
        <w:rPr>
          <w:lang/>
        </w:rPr>
        <w:t>,</w:t>
      </w:r>
      <w:r w:rsidRPr="009C0834">
        <w:rPr>
          <w:lang/>
        </w:rPr>
        <w:t xml:space="preserve"> </w:t>
      </w:r>
      <w:r>
        <w:rPr>
          <w:lang/>
        </w:rPr>
        <w:t>dla uzasadnienia</w:t>
      </w:r>
      <w:r w:rsidRPr="009C0834">
        <w:rPr>
          <w:lang/>
        </w:rPr>
        <w:t xml:space="preserve"> rozproszenia marszu </w:t>
      </w:r>
      <w:r>
        <w:rPr>
          <w:lang/>
        </w:rPr>
        <w:t>Rząd powołał się na potrzebę</w:t>
      </w:r>
      <w:r w:rsidRPr="009C0834">
        <w:rPr>
          <w:lang/>
        </w:rPr>
        <w:t xml:space="preserve"> zachowania porządku publicznego i zapewnienia bezpieczeństwa na drodze. Jednak Trybunał zauważa, że marsz czy </w:t>
      </w:r>
      <w:r>
        <w:rPr>
          <w:lang/>
        </w:rPr>
        <w:t>domniemany</w:t>
      </w:r>
      <w:r w:rsidRPr="009C0834">
        <w:rPr>
          <w:lang/>
        </w:rPr>
        <w:t xml:space="preserve"> marsz (zob. paragraf 56 powyżej) trwał zaledwie piętnaście minut, był pokojowy, a liczba uczestników – nie więcej niż stu – nie mogła stwarzać </w:t>
      </w:r>
      <w:r>
        <w:rPr>
          <w:lang/>
        </w:rPr>
        <w:t xml:space="preserve">oddziałom prewencji </w:t>
      </w:r>
      <w:r w:rsidRPr="009C0834">
        <w:rPr>
          <w:lang/>
        </w:rPr>
        <w:t xml:space="preserve">problemów z </w:t>
      </w:r>
      <w:r>
        <w:rPr>
          <w:lang/>
        </w:rPr>
        <w:t xml:space="preserve">zapewnieniem ich ochrony lub powstrzymaniem ich poprzez skierowanie, w razie gdyby było to konieczne i właściwe, </w:t>
      </w:r>
      <w:r w:rsidRPr="009C0834">
        <w:rPr>
          <w:lang/>
        </w:rPr>
        <w:t>z ulicy na chodnik.</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65. Dlatego Trybunał uznaje, że siły policyjne </w:t>
      </w:r>
      <w:r>
        <w:rPr>
          <w:rFonts w:ascii="Times New Roman" w:hAnsi="Times New Roman" w:cs="Times New Roman"/>
          <w:sz w:val="24"/>
          <w:szCs w:val="24"/>
          <w:lang w:val="pl-PL"/>
        </w:rPr>
        <w:t>w terenie</w:t>
      </w:r>
      <w:r w:rsidRPr="009C0834">
        <w:rPr>
          <w:rFonts w:ascii="Times New Roman" w:hAnsi="Times New Roman" w:cs="Times New Roman"/>
          <w:sz w:val="24"/>
          <w:szCs w:val="24"/>
          <w:lang w:val="pl-PL"/>
        </w:rPr>
        <w:t xml:space="preserve"> zatrzymały skarżących wyłącznie dlatego, że nie wydano pozwolenia na marsz jako taki. Następnie sądy krajowe nie podjęły próby weryfikacji zakresu zagrożeń spowodowanych przez skarżących </w:t>
      </w:r>
      <w:r>
        <w:rPr>
          <w:rFonts w:ascii="Times New Roman" w:hAnsi="Times New Roman" w:cs="Times New Roman"/>
          <w:sz w:val="24"/>
          <w:szCs w:val="24"/>
          <w:lang w:val="pl-PL"/>
        </w:rPr>
        <w:t>i</w:t>
      </w:r>
      <w:r w:rsidRPr="009C0834">
        <w:rPr>
          <w:rFonts w:ascii="Times New Roman" w:hAnsi="Times New Roman" w:cs="Times New Roman"/>
          <w:sz w:val="24"/>
          <w:szCs w:val="24"/>
          <w:lang w:val="pl-PL"/>
        </w:rPr>
        <w:t xml:space="preserve"> innych protestujących </w:t>
      </w:r>
      <w:r>
        <w:rPr>
          <w:rFonts w:ascii="Times New Roman" w:hAnsi="Times New Roman" w:cs="Times New Roman"/>
          <w:sz w:val="24"/>
          <w:szCs w:val="24"/>
          <w:lang w:val="pl-PL"/>
        </w:rPr>
        <w:t xml:space="preserve">ani też </w:t>
      </w:r>
      <w:r w:rsidRPr="009C0834">
        <w:rPr>
          <w:rFonts w:ascii="Times New Roman" w:hAnsi="Times New Roman" w:cs="Times New Roman"/>
          <w:sz w:val="24"/>
          <w:szCs w:val="24"/>
          <w:lang w:val="pl-PL"/>
        </w:rPr>
        <w:t>zasadności przerwania marszu. Wobec powyższego Rząd nie wykazał, że zaszła „pilna potrzeba społeczna” przerwania spontanicznego marszu.</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66. W świetle powyższego Trybunał uznaje, że </w:t>
      </w:r>
      <w:r>
        <w:rPr>
          <w:rFonts w:ascii="Times New Roman" w:hAnsi="Times New Roman" w:cs="Times New Roman"/>
          <w:sz w:val="24"/>
          <w:szCs w:val="24"/>
          <w:lang w:val="pl-PL"/>
        </w:rPr>
        <w:t>w obecnej sprawie</w:t>
      </w:r>
      <w:r w:rsidRPr="009C0834">
        <w:rPr>
          <w:rFonts w:ascii="Times New Roman" w:hAnsi="Times New Roman" w:cs="Times New Roman"/>
          <w:sz w:val="24"/>
          <w:szCs w:val="24"/>
          <w:lang w:val="pl-PL"/>
        </w:rPr>
        <w:t xml:space="preserve"> dynamiczna interwencja policji była nieproporcjonalna i niepotrzebna z punktu widzenia zapobiegania </w:t>
      </w:r>
      <w:r w:rsidRPr="00C02278">
        <w:rPr>
          <w:rFonts w:ascii="Times New Roman" w:hAnsi="Times New Roman" w:cs="Times New Roman"/>
          <w:sz w:val="24"/>
          <w:szCs w:val="24"/>
          <w:lang w:val="pl-PL"/>
        </w:rPr>
        <w:t>zakłóceniu porządku</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w rozumieniu drugiego ustępu art. 11 Konwencji.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428" w:right="567"/>
        <w:jc w:val="both"/>
        <w:rPr>
          <w:rFonts w:ascii="Times New Roman" w:hAnsi="Times New Roman" w:cs="Times New Roman"/>
          <w:sz w:val="20"/>
          <w:szCs w:val="20"/>
          <w:lang w:val="pl-PL"/>
        </w:rPr>
      </w:pPr>
      <w:r w:rsidRPr="009C0834">
        <w:rPr>
          <w:rFonts w:ascii="Times New Roman" w:hAnsi="Times New Roman" w:cs="Times New Roman"/>
          <w:i/>
          <w:iCs/>
          <w:sz w:val="20"/>
          <w:szCs w:val="20"/>
          <w:lang w:val="pl-PL"/>
        </w:rPr>
        <w:t>(ii) Zatrzymanie skarżących</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67. Rząd twierdził, że skarżący zostali zatrzymani, ponieważ nie zastosowali się do zgodnych z prawem poleceń policji, naruszając tym samym art. 19.3 Kodeksu wykroczeń administracyjnych. Trybunał uznał w związku z tym, że nie jest w stanie ustalić, czy policja wydała jakiekolwiek polecenia skarżącym przed przystąpieniem do ich zatrzymania (zob. paragraf 58 powyżej). Jednak zakładając nawet, że policja precyzyjne przedstawiła fakty, a skarżący rzeczywiście nie zastosowali się do polecenia zakończenia marszu, reakcja władz powinna była być zgodna z prawem krajowym i zachować sprawiedliwą równowagę pomiędzy zastosowanymi środkami </w:t>
      </w:r>
      <w:r>
        <w:rPr>
          <w:rFonts w:ascii="Times New Roman" w:hAnsi="Times New Roman" w:cs="Times New Roman"/>
          <w:sz w:val="24"/>
          <w:szCs w:val="24"/>
          <w:lang w:val="pl-PL"/>
        </w:rPr>
        <w:t xml:space="preserve">a </w:t>
      </w:r>
      <w:r w:rsidRPr="009C0834">
        <w:rPr>
          <w:rFonts w:ascii="Times New Roman" w:hAnsi="Times New Roman" w:cs="Times New Roman"/>
          <w:sz w:val="24"/>
          <w:szCs w:val="24"/>
          <w:lang w:val="pl-PL"/>
        </w:rPr>
        <w:t>celami, do których środki te prowadzą.</w:t>
      </w:r>
    </w:p>
    <w:p w:rsidR="00A52C5C" w:rsidRPr="00B025B2" w:rsidRDefault="00A52C5C" w:rsidP="00A500BE">
      <w:pPr>
        <w:pStyle w:val="Styl1"/>
        <w:rPr>
          <w:lang/>
        </w:rPr>
      </w:pPr>
      <w:r w:rsidRPr="009C0834">
        <w:rPr>
          <w:lang/>
        </w:rPr>
        <w:t>68. Trybunał zauważa, że jeżeli funkcjonariusze policji byli przekonani, że skarżący popełniali wykroczenie administracyjne, powinni byli sporządzić raport w sprawie wykroczenia administracyjnego. Zgodnie z art. 27.2 Kodeksu wykroczeń administracyjnych skarżący mogli zostać doprowadzeni na komendę policji wyłącznie wtedy, kiedy nie byłoby możliwości sporządzenia takiego raportu na miejscu ujawnienia wykroczenia. Rząd nie dow</w:t>
      </w:r>
      <w:r>
        <w:rPr>
          <w:lang/>
        </w:rPr>
        <w:t>odził</w:t>
      </w:r>
      <w:r w:rsidRPr="009C0834">
        <w:rPr>
          <w:lang/>
        </w:rPr>
        <w:t xml:space="preserve">, że w tym przypadku było to niemożliwe, </w:t>
      </w:r>
      <w:r>
        <w:rPr>
          <w:lang/>
        </w:rPr>
        <w:t xml:space="preserve">również w świetle decyzji krajowych </w:t>
      </w:r>
      <w:r w:rsidRPr="009C0834">
        <w:rPr>
          <w:lang/>
        </w:rPr>
        <w:t xml:space="preserve">nie można dostrzec żadnych przeszkód w sporządzeniu </w:t>
      </w:r>
      <w:r>
        <w:rPr>
          <w:lang/>
        </w:rPr>
        <w:t xml:space="preserve">takiego </w:t>
      </w:r>
      <w:r w:rsidRPr="009C0834">
        <w:rPr>
          <w:lang/>
        </w:rPr>
        <w:t>raportu na miejscu. Wręcz przeciwnie, Rząd twierdził, że funkcjonariusze policji wyraźnie powiedzieli skarżącym, aby ci udali się za nimi do policyjnego busa w celu sporządzenia raportów w sprawie wykroczenia administracyjnego. Nie jest jasne, dlaczego zrezygnowali z tego zamiaru, gdy skarżący byli już w środku busa. Co więcej, sądy krajowe nie rozpatrzyły zarzutów skarżących dotyczących braku konieczności doprowadzenia ich na komendę policji.</w:t>
      </w:r>
    </w:p>
    <w:p w:rsidR="00A52C5C" w:rsidRPr="00B025B2" w:rsidRDefault="00A52C5C" w:rsidP="00A500BE">
      <w:pPr>
        <w:pStyle w:val="Styl1"/>
        <w:rPr>
          <w:lang/>
        </w:rPr>
      </w:pPr>
      <w:r w:rsidRPr="009C0834">
        <w:rPr>
          <w:lang/>
        </w:rPr>
        <w:t xml:space="preserve">69. Trybunał ze swojej strony nie może dostrzec żadnych powodów zastosowania środków przymusu w okolicznościach niniejszej sprawy i dlatego stwierdza, że nie istniała „pilna potrzeba społeczna” zatrzymania skarżących i doprowadzenia ich na komendę policji. Zatem środki te nie były proporcjonalne czy konieczne z punktu widzenia zapobiegania </w:t>
      </w:r>
      <w:r>
        <w:rPr>
          <w:lang/>
        </w:rPr>
        <w:t xml:space="preserve">zakłóceniu porządku </w:t>
      </w:r>
      <w:r w:rsidRPr="009C0834">
        <w:rPr>
          <w:lang/>
        </w:rPr>
        <w:t>w rozumieniu drugiego ustępu art. 11 Konwencji.</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428" w:right="567"/>
        <w:jc w:val="both"/>
        <w:rPr>
          <w:rFonts w:ascii="Times New Roman" w:hAnsi="Times New Roman" w:cs="Times New Roman"/>
          <w:sz w:val="20"/>
          <w:szCs w:val="20"/>
          <w:lang w:val="pl-PL"/>
        </w:rPr>
      </w:pPr>
      <w:r w:rsidRPr="009C0834">
        <w:rPr>
          <w:rFonts w:ascii="Times New Roman" w:hAnsi="Times New Roman" w:cs="Times New Roman"/>
          <w:i/>
          <w:iCs/>
          <w:sz w:val="20"/>
          <w:szCs w:val="20"/>
          <w:lang w:val="pl-PL"/>
        </w:rPr>
        <w:t>(iii) Uznanie za winnych wykroczenia administracyjnego</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70. Skarżący zostali uznani za winnych niezastosowania się do zgodnego z prawem polecenia policji, jako że nie przerwali marszu po otrzymaniu stosownego polecenia. Zostali ukarani 15-dniowym aresztem administracyjnym na podstawie art. 19.3 Kodeksu wykroczeń administracyjnych. Ukaranie za takie wykroczenie na podstawie ww. przepisu wynika z art. 17.4 Federalnego prawa o zgromadzeniach.</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71. W opinii Trybunału kara ta nie odpowiadała wadze wykroczenia, która w każdym razie była raczej znikoma, jeśli nie żadna.</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72. Trybunał uważa, że sankcje nałożone na skarżących były nieuzasadnione przez okoliczności sprawy i nieproporcjonalne w rozumieniu art. 11 Konwencji.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428" w:right="567"/>
        <w:jc w:val="both"/>
        <w:rPr>
          <w:rFonts w:ascii="Times New Roman" w:hAnsi="Times New Roman" w:cs="Times New Roman"/>
          <w:sz w:val="20"/>
          <w:szCs w:val="20"/>
          <w:lang w:val="pl-PL"/>
        </w:rPr>
      </w:pPr>
      <w:r w:rsidRPr="0023783A">
        <w:rPr>
          <w:rFonts w:ascii="Times New Roman" w:hAnsi="Times New Roman" w:cs="Times New Roman"/>
          <w:i/>
          <w:iCs/>
          <w:sz w:val="20"/>
          <w:szCs w:val="20"/>
          <w:lang w:val="pl-PL"/>
        </w:rPr>
        <w:t>(iv) Wnioski</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73. Trybunał ustalił </w:t>
      </w:r>
      <w:r>
        <w:rPr>
          <w:rFonts w:ascii="Times New Roman" w:hAnsi="Times New Roman" w:cs="Times New Roman"/>
          <w:sz w:val="24"/>
          <w:szCs w:val="24"/>
          <w:lang w:val="pl-PL"/>
        </w:rPr>
        <w:t>powyżej</w:t>
      </w:r>
      <w:r w:rsidRPr="009C0834">
        <w:rPr>
          <w:rFonts w:ascii="Times New Roman" w:hAnsi="Times New Roman" w:cs="Times New Roman"/>
          <w:sz w:val="24"/>
          <w:szCs w:val="24"/>
          <w:lang w:val="pl-PL"/>
        </w:rPr>
        <w:t>, że środki zastosowane wobec skarżących nie były proporcjonalne do u</w:t>
      </w:r>
      <w:r>
        <w:rPr>
          <w:rFonts w:ascii="Times New Roman" w:hAnsi="Times New Roman" w:cs="Times New Roman"/>
          <w:sz w:val="24"/>
          <w:szCs w:val="24"/>
          <w:lang w:val="pl-PL"/>
        </w:rPr>
        <w:t>prawn</w:t>
      </w:r>
      <w:r w:rsidRPr="009C0834">
        <w:rPr>
          <w:rFonts w:ascii="Times New Roman" w:hAnsi="Times New Roman" w:cs="Times New Roman"/>
          <w:sz w:val="24"/>
          <w:szCs w:val="24"/>
          <w:lang w:val="pl-PL"/>
        </w:rPr>
        <w:t>ionego celu, do którego dążyły. Zauważa również, że policja i sądy wyraźnie przyznały, że ostatecznie skarżący zostali ukarani za udział w spontanicznej pokojowej demonstracji i skandowanie antyrządowych haseł, czyli działania objęte ochroną na podstawie art. 10 i 11 Konwencji. Są</w:t>
      </w:r>
      <w:r>
        <w:rPr>
          <w:rFonts w:ascii="Times New Roman" w:hAnsi="Times New Roman" w:cs="Times New Roman"/>
          <w:sz w:val="24"/>
          <w:szCs w:val="24"/>
          <w:lang w:val="pl-PL"/>
        </w:rPr>
        <w:t xml:space="preserve">dy nie podjęły wysiłku wyważenia uprawnionych </w:t>
      </w:r>
      <w:r w:rsidRPr="009C0834">
        <w:rPr>
          <w:rFonts w:ascii="Times New Roman" w:hAnsi="Times New Roman" w:cs="Times New Roman"/>
          <w:sz w:val="24"/>
          <w:szCs w:val="24"/>
          <w:lang w:val="pl-PL"/>
        </w:rPr>
        <w:t xml:space="preserve">interesów skarżących względem ewentualnych szkód, które mogłyby zostać przez </w:t>
      </w:r>
      <w:r>
        <w:rPr>
          <w:rFonts w:ascii="Times New Roman" w:hAnsi="Times New Roman" w:cs="Times New Roman"/>
          <w:sz w:val="24"/>
          <w:szCs w:val="24"/>
          <w:lang w:val="pl-PL"/>
        </w:rPr>
        <w:t>to</w:t>
      </w:r>
      <w:r w:rsidRPr="009C0834">
        <w:rPr>
          <w:rFonts w:ascii="Times New Roman" w:hAnsi="Times New Roman" w:cs="Times New Roman"/>
          <w:sz w:val="24"/>
          <w:szCs w:val="24"/>
          <w:lang w:val="pl-PL"/>
        </w:rPr>
        <w:t xml:space="preserve"> spowodowane w odniesieniu do innych interesów publicznych czy prywatnych. Rozpędzenie </w:t>
      </w:r>
      <w:r w:rsidRPr="00BF140B">
        <w:rPr>
          <w:rFonts w:ascii="Times New Roman" w:hAnsi="Times New Roman" w:cs="Times New Roman"/>
          <w:sz w:val="24"/>
          <w:szCs w:val="24"/>
          <w:lang w:val="pl-PL"/>
        </w:rPr>
        <w:t>domniemanego</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marszu, zatrzymanie i późniejsze skazanie administracyjne skarżących mogło jedynie zniechęcić ich do uczestniczenia w wiecach protestacyjnych, a nawet aktywnego angażowania się w politykę opozycyjną.</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74. Bez wątpienia środki te mogły z dużym prawdopodobieństwem odstraszyć inne osoby popierające opozycję oraz szeroką publiczność od </w:t>
      </w:r>
      <w:r>
        <w:rPr>
          <w:rFonts w:ascii="Times New Roman" w:hAnsi="Times New Roman" w:cs="Times New Roman"/>
          <w:sz w:val="24"/>
          <w:szCs w:val="24"/>
          <w:lang w:val="pl-PL"/>
        </w:rPr>
        <w:t>brania</w:t>
      </w:r>
      <w:r w:rsidRPr="009C0834">
        <w:rPr>
          <w:rFonts w:ascii="Times New Roman" w:hAnsi="Times New Roman" w:cs="Times New Roman"/>
          <w:sz w:val="24"/>
          <w:szCs w:val="24"/>
          <w:lang w:val="pl-PL"/>
        </w:rPr>
        <w:t xml:space="preserve"> udziału w demonstracjach, a w szerszym kontekście od udziału w otwartej debacie publicznej. Studzący efekt tych sankcji był jeszcze wzmocniony faktem, że dotyczyły one dobrze znanych osób publicznych, których pozbawienie wolności musiało wiązać się z dużym zainteresowaniem ze strony mediów.</w:t>
      </w:r>
    </w:p>
    <w:p w:rsidR="00A52C5C" w:rsidRDefault="00A52C5C" w:rsidP="0027590B">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75. Wobec powyższego, Trybunał uznaje, że stłumienie </w:t>
      </w:r>
      <w:r>
        <w:rPr>
          <w:rFonts w:ascii="Times New Roman" w:hAnsi="Times New Roman" w:cs="Times New Roman"/>
          <w:sz w:val="24"/>
          <w:szCs w:val="24"/>
          <w:lang w:val="pl-PL"/>
        </w:rPr>
        <w:t xml:space="preserve">domniemanego </w:t>
      </w:r>
      <w:r w:rsidRPr="009C0834">
        <w:rPr>
          <w:rFonts w:ascii="Times New Roman" w:hAnsi="Times New Roman" w:cs="Times New Roman"/>
          <w:sz w:val="24"/>
          <w:szCs w:val="24"/>
          <w:lang w:val="pl-PL"/>
        </w:rPr>
        <w:t>marszu, zatrzymanie skarżących i uznanie ich za winnych wykroczenia administracyjnego nie było uzasadnione pilną potrzebą społeczną i dlatego nie było konieczne w społeczeństwie demokratycznym.</w:t>
      </w:r>
    </w:p>
    <w:p w:rsidR="00A52C5C" w:rsidRPr="00B025B2" w:rsidRDefault="00A52C5C" w:rsidP="0027590B">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W związku z powyższym Trybunał orzeka, że doszło do naruszenia art. 11 Konwencji w przypadku obydwu skarżących.</w:t>
      </w:r>
    </w:p>
    <w:p w:rsidR="00A52C5C" w:rsidRPr="00B025B2" w:rsidRDefault="00A52C5C" w:rsidP="00A500BE">
      <w:pPr>
        <w:spacing w:after="0" w:line="240" w:lineRule="auto"/>
        <w:ind w:right="567"/>
        <w:jc w:val="both"/>
        <w:rPr>
          <w:sz w:val="15"/>
          <w:szCs w:val="15"/>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II. ZARZUT NARUSZENIA </w:t>
      </w:r>
      <w:r>
        <w:rPr>
          <w:rFonts w:ascii="Times New Roman" w:hAnsi="Times New Roman" w:cs="Times New Roman"/>
          <w:sz w:val="24"/>
          <w:szCs w:val="24"/>
          <w:lang w:val="pl-PL"/>
        </w:rPr>
        <w:t>ART.</w:t>
      </w:r>
      <w:r w:rsidRPr="009C0834">
        <w:rPr>
          <w:rFonts w:ascii="Times New Roman" w:hAnsi="Times New Roman" w:cs="Times New Roman"/>
          <w:sz w:val="24"/>
          <w:szCs w:val="24"/>
          <w:lang w:val="pl-PL"/>
        </w:rPr>
        <w:t xml:space="preserve"> 6 KONWENCJI</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76. Skarżący podnieśli zarzut naruszenia prawa do sprawiedliwego i publicznego rozpatrzenia sprawy w prowadzonym przeciwko nim postępowaniu administracyjnym. Swój zarzut oparli na art. 6 §§ 1 i 3 </w:t>
      </w:r>
      <w:r>
        <w:rPr>
          <w:rFonts w:ascii="Times New Roman" w:hAnsi="Times New Roman" w:cs="Times New Roman"/>
          <w:sz w:val="24"/>
          <w:szCs w:val="24"/>
          <w:lang w:val="pl-PL"/>
        </w:rPr>
        <w:t xml:space="preserve">lit. b), </w:t>
      </w:r>
      <w:r w:rsidRPr="009C0834">
        <w:rPr>
          <w:rFonts w:ascii="Times New Roman" w:hAnsi="Times New Roman" w:cs="Times New Roman"/>
          <w:sz w:val="24"/>
          <w:szCs w:val="24"/>
          <w:lang w:val="pl-PL"/>
        </w:rPr>
        <w:t>c) i d) Konwencji, który stanowi, co następuje w zakresie, w jakim ma to znaczenie dla niniejszej sprawy:</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„Każdy ma prawo do sprawiedliwego i publicznego rozpatrzenia jego sprawy (...) przez sąd (...) przy rozstrzyganiu o (...) wytoczonej przeciwko niemu sprawie karnej.”</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3. Każdy oskarżony o popełnienie czynu zagrożonego karą ma co najmniej prawo do:</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(b) posiadania odpowiedniego czasu i możliwości do przygotowania obrony;</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(c) bronienia się osobiście lub przez ustanowionego przez siebie obrońcę, a jeśli nie ma wystarczających środków na pokrycie kosztów obrony, do bezpłatnego korzystania z pomocy obrońcy wyznaczonego z urzędu, gdy wymaga tego dobro wymiaru sprawiedliwości;</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(d) przesłuchania lub spowodowania przesłuchania świadków oskarżenia oraz żądania obecności i przesłuchania świadków obrony na takich samych warunkach jak świadków oskarżenia (...)”</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Dopuszczalność</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77. Trybunał pragnie przypomnieć, że w celu ustalenia, czy wykroczenie kwalifikuje się jako „karne” na potrzeby art. 6 Konwencji, należy ustalić, czy przepis definiujący wykroczenie należy w systemie prawnym Państwa pozwanego do prawa karnego; należy wtedy rozpatrzyć „istotę przestępstwa” oraz surowość kary grożącej za jego popełnienie (zob. </w:t>
      </w:r>
      <w:r w:rsidRPr="009C0834">
        <w:rPr>
          <w:rFonts w:ascii="Times New Roman" w:hAnsi="Times New Roman" w:cs="Times New Roman"/>
          <w:i/>
          <w:iCs/>
          <w:sz w:val="24"/>
          <w:szCs w:val="24"/>
          <w:lang w:val="pl-PL"/>
        </w:rPr>
        <w:t xml:space="preserve">Menesheva przeciwko Rosji, </w:t>
      </w:r>
      <w:r w:rsidRPr="009C0834">
        <w:rPr>
          <w:rFonts w:ascii="Times New Roman" w:hAnsi="Times New Roman" w:cs="Times New Roman"/>
          <w:sz w:val="24"/>
          <w:szCs w:val="24"/>
          <w:lang w:val="pl-PL"/>
        </w:rPr>
        <w:t xml:space="preserve">skarga nr 59261/00, § 95, ETPC 2006-III). Pozbawienie wolności </w:t>
      </w:r>
      <w:r>
        <w:rPr>
          <w:rFonts w:ascii="Times New Roman" w:hAnsi="Times New Roman" w:cs="Times New Roman"/>
          <w:sz w:val="24"/>
          <w:szCs w:val="24"/>
          <w:lang w:val="pl-PL"/>
        </w:rPr>
        <w:t>nałożone jako kara</w:t>
      </w:r>
      <w:r w:rsidRPr="009C0834">
        <w:rPr>
          <w:rFonts w:ascii="Times New Roman" w:hAnsi="Times New Roman" w:cs="Times New Roman"/>
          <w:sz w:val="24"/>
          <w:szCs w:val="24"/>
          <w:lang w:val="pl-PL"/>
        </w:rPr>
        <w:t xml:space="preserve"> ogólnie należy do sfery karnej, chyba że ze względu na swój charakter, czas trwania lub sposób wykonania nie ma znacząco negatywnego wpływu (zob. </w:t>
      </w:r>
      <w:r w:rsidRPr="009C0834">
        <w:rPr>
          <w:rFonts w:ascii="Times New Roman" w:hAnsi="Times New Roman" w:cs="Times New Roman"/>
          <w:i/>
          <w:iCs/>
          <w:sz w:val="24"/>
          <w:szCs w:val="24"/>
          <w:lang w:val="pl-PL"/>
        </w:rPr>
        <w:t>Engel i Inni przeciwko Holandii</w:t>
      </w:r>
      <w:r w:rsidRPr="009C0834">
        <w:rPr>
          <w:rFonts w:ascii="Times New Roman" w:hAnsi="Times New Roman" w:cs="Times New Roman"/>
          <w:sz w:val="24"/>
          <w:szCs w:val="24"/>
          <w:lang w:val="pl-PL"/>
        </w:rPr>
        <w:t xml:space="preserve">, 8 czerwca 1976 r., §§ 82-83, Seria A nr 22, oraz </w:t>
      </w:r>
      <w:r w:rsidRPr="009C0834">
        <w:rPr>
          <w:rFonts w:ascii="Times New Roman" w:hAnsi="Times New Roman" w:cs="Times New Roman"/>
          <w:i/>
          <w:iCs/>
          <w:sz w:val="24"/>
          <w:szCs w:val="24"/>
          <w:lang w:val="pl-PL"/>
        </w:rPr>
        <w:t xml:space="preserve">Ezeh i Connors przeciwko Zjednoczonemu Królestwu </w:t>
      </w:r>
      <w:r w:rsidRPr="009C0834">
        <w:rPr>
          <w:rFonts w:ascii="Times New Roman" w:hAnsi="Times New Roman" w:cs="Times New Roman"/>
          <w:sz w:val="24"/>
          <w:szCs w:val="24"/>
          <w:lang w:val="pl-PL"/>
        </w:rPr>
        <w:t xml:space="preserve">[Wielka Izba], skargi nr </w:t>
      </w:r>
      <w:hyperlink r:id="rId17">
        <w:r w:rsidRPr="009C0834">
          <w:rPr>
            <w:rFonts w:ascii="Times New Roman" w:hAnsi="Times New Roman" w:cs="Times New Roman"/>
            <w:sz w:val="24"/>
            <w:szCs w:val="24"/>
            <w:lang w:val="pl-PL"/>
          </w:rPr>
          <w:t>39665/98</w:t>
        </w:r>
      </w:hyperlink>
      <w:r w:rsidRPr="009C0834">
        <w:rPr>
          <w:rFonts w:ascii="Times New Roman" w:hAnsi="Times New Roman" w:cs="Times New Roman"/>
          <w:sz w:val="24"/>
          <w:szCs w:val="24"/>
          <w:lang w:val="pl-PL"/>
        </w:rPr>
        <w:t xml:space="preserve"> </w:t>
      </w:r>
      <w:hyperlink r:id="rId18">
        <w:r w:rsidRPr="009C0834">
          <w:rPr>
            <w:rFonts w:ascii="Times New Roman" w:hAnsi="Times New Roman" w:cs="Times New Roman"/>
            <w:sz w:val="24"/>
            <w:szCs w:val="24"/>
            <w:lang w:val="pl-PL"/>
          </w:rPr>
          <w:t>i 40086/98</w:t>
        </w:r>
      </w:hyperlink>
      <w:r w:rsidRPr="009C0834">
        <w:rPr>
          <w:rFonts w:ascii="Times New Roman" w:hAnsi="Times New Roman" w:cs="Times New Roman"/>
          <w:sz w:val="24"/>
          <w:szCs w:val="24"/>
          <w:lang w:val="pl-PL"/>
        </w:rPr>
        <w:t>, §§ 69-130, ETPC 2003-X).</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78. </w:t>
      </w:r>
      <w:r>
        <w:rPr>
          <w:rFonts w:ascii="Times New Roman" w:hAnsi="Times New Roman" w:cs="Times New Roman"/>
          <w:sz w:val="24"/>
          <w:szCs w:val="24"/>
          <w:lang w:val="pl-PL"/>
        </w:rPr>
        <w:t>W obecnej sprawie</w:t>
      </w:r>
      <w:r w:rsidRPr="009C0834">
        <w:rPr>
          <w:rFonts w:ascii="Times New Roman" w:hAnsi="Times New Roman" w:cs="Times New Roman"/>
          <w:sz w:val="24"/>
          <w:szCs w:val="24"/>
          <w:lang w:val="pl-PL"/>
        </w:rPr>
        <w:t xml:space="preserve"> Rząd zgodził się, że art. 6 znajdował zastosowanie w omawianym postępowaniu. Trybunał jest zdania, że wykroczenie to należy zakwalifikować jako „karne” ze względu na surowość sankcji i ich wyłącznie karny cel (zob. </w:t>
      </w:r>
      <w:r w:rsidRPr="009C0834">
        <w:rPr>
          <w:rFonts w:ascii="Times New Roman" w:hAnsi="Times New Roman" w:cs="Times New Roman"/>
          <w:i/>
          <w:iCs/>
          <w:sz w:val="24"/>
          <w:szCs w:val="24"/>
          <w:lang w:val="pl-PL"/>
        </w:rPr>
        <w:t xml:space="preserve">Menesheva, </w:t>
      </w:r>
      <w:r w:rsidRPr="009C0834">
        <w:rPr>
          <w:rFonts w:ascii="Times New Roman" w:hAnsi="Times New Roman" w:cs="Times New Roman"/>
          <w:sz w:val="24"/>
          <w:szCs w:val="24"/>
          <w:lang w:val="pl-PL"/>
        </w:rPr>
        <w:t xml:space="preserve">§§ 94-98, </w:t>
      </w:r>
      <w:r w:rsidRPr="009C0834">
        <w:rPr>
          <w:rFonts w:ascii="Times New Roman" w:hAnsi="Times New Roman" w:cs="Times New Roman"/>
          <w:i/>
          <w:iCs/>
          <w:sz w:val="24"/>
          <w:szCs w:val="24"/>
          <w:lang w:val="pl-PL"/>
        </w:rPr>
        <w:t>Malofeyeva</w:t>
      </w:r>
      <w:r w:rsidRPr="009C0834">
        <w:rPr>
          <w:rFonts w:ascii="Times New Roman" w:hAnsi="Times New Roman" w:cs="Times New Roman"/>
          <w:sz w:val="24"/>
          <w:szCs w:val="24"/>
          <w:lang w:val="pl-PL"/>
        </w:rPr>
        <w:t xml:space="preserve">, §§ 99-101, i </w:t>
      </w:r>
      <w:r w:rsidRPr="009C0834">
        <w:rPr>
          <w:rFonts w:ascii="Times New Roman" w:hAnsi="Times New Roman" w:cs="Times New Roman"/>
          <w:i/>
          <w:iCs/>
          <w:sz w:val="24"/>
          <w:szCs w:val="24"/>
          <w:lang w:val="pl-PL"/>
        </w:rPr>
        <w:t>Kasparov</w:t>
      </w:r>
      <w:r w:rsidRPr="009C0834">
        <w:rPr>
          <w:rFonts w:ascii="Times New Roman" w:hAnsi="Times New Roman" w:cs="Times New Roman"/>
          <w:sz w:val="24"/>
          <w:szCs w:val="24"/>
          <w:lang w:val="pl-PL"/>
        </w:rPr>
        <w:t>, §§ 39-45, op. cit.).</w:t>
      </w:r>
    </w:p>
    <w:p w:rsidR="00A52C5C" w:rsidRPr="00B025B2" w:rsidRDefault="00A52C5C" w:rsidP="0044621B">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79. Trybunał uważa również, że niniejsza część skargi nie może zostać uznana za </w:t>
      </w:r>
      <w:r>
        <w:rPr>
          <w:rFonts w:ascii="Times New Roman" w:hAnsi="Times New Roman" w:cs="Times New Roman"/>
          <w:sz w:val="24"/>
          <w:szCs w:val="24"/>
          <w:lang w:val="pl-PL"/>
        </w:rPr>
        <w:t>w sposób oczywisty nieuzasadnioną</w:t>
      </w:r>
      <w:r w:rsidRPr="009C0834">
        <w:rPr>
          <w:rFonts w:ascii="Times New Roman" w:hAnsi="Times New Roman" w:cs="Times New Roman"/>
          <w:sz w:val="24"/>
          <w:szCs w:val="24"/>
          <w:lang w:val="pl-PL"/>
        </w:rPr>
        <w:t xml:space="preserve"> w rozumieniu art. 35 § 3 </w:t>
      </w:r>
      <w:r>
        <w:rPr>
          <w:rFonts w:ascii="Times New Roman" w:hAnsi="Times New Roman" w:cs="Times New Roman"/>
          <w:sz w:val="24"/>
          <w:szCs w:val="24"/>
          <w:lang w:val="pl-PL"/>
        </w:rPr>
        <w:t xml:space="preserve">lit. </w:t>
      </w:r>
      <w:r w:rsidRPr="009C0834">
        <w:rPr>
          <w:rFonts w:ascii="Times New Roman" w:hAnsi="Times New Roman" w:cs="Times New Roman"/>
          <w:sz w:val="24"/>
          <w:szCs w:val="24"/>
          <w:lang w:val="pl-PL"/>
        </w:rPr>
        <w:t>a) Konwencji.</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Nie stwierdzono innych podstaw, aby uznać skargę na niedopuszczalną. Z tego powodu należy ją uznać za dopuszczalną.</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Przedmiot</w:t>
      </w:r>
      <w:r w:rsidRPr="009C0834">
        <w:rPr>
          <w:rFonts w:ascii="Times New Roman" w:hAnsi="Times New Roman" w:cs="Times New Roman"/>
          <w:b/>
          <w:bCs/>
          <w:sz w:val="24"/>
          <w:szCs w:val="24"/>
          <w:lang w:val="pl-PL"/>
        </w:rPr>
        <w:t xml:space="preserve"> sprawy</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1. Stanowiska stron</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80. Rząd utrzymywał, że postępowanie w sprawach administracyjnych skarżących było zgodne z art. 6 Konwencji. Twierdził, że każdy skarżący miał stosowną możliwość przedstawienia swojej sprawy, wezwania w swoim imieniu świadków, zadawania pytań świadkom strony skarżącej, w szczególności funkcjonariuszom policji</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oraz przedstawienia innych dowodów. Skarżący mieli możliwość wniesienia wniosków pisemnych, z czego skorzystali. Rząd twierdził, że rozprawy były otwarte dla publiczności, w tym dziennikarzy, którzy byli obecni na sali rozpraw.</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81. Skarżący natomiast twierdzili, że nie mieli dostępu do sprawiedliwego rozpatrzenia sprawy. Podnieśli, że sąd odmówił dopuszczenia jako dowodu nagrań wideo z ich zatrzymania oraz wezwania i przesłuchania świadków, o których wnioskowali, a także odrzucił wiele pytań do funkcjonariuszy policji w czasie zadawania pytań stronie skarżącej. Co więcej, sąd nie </w:t>
      </w:r>
      <w:r>
        <w:rPr>
          <w:rFonts w:ascii="Times New Roman" w:hAnsi="Times New Roman" w:cs="Times New Roman"/>
          <w:sz w:val="24"/>
          <w:szCs w:val="24"/>
          <w:lang w:val="pl-PL"/>
        </w:rPr>
        <w:t>przestrzegał</w:t>
      </w:r>
      <w:r w:rsidRPr="009C0834">
        <w:rPr>
          <w:rFonts w:ascii="Times New Roman" w:hAnsi="Times New Roman" w:cs="Times New Roman"/>
          <w:sz w:val="24"/>
          <w:szCs w:val="24"/>
          <w:lang w:val="pl-PL"/>
        </w:rPr>
        <w:t xml:space="preserve"> zasady równości stron, odrzucając zeznania wszystkich świadków obrony przy jednoczesnym przypisaniu znaczenia zeznaniom dwóch funkcjonariuszy policji. Dodatkowo skarżący podnieśli, że rozprawa nie była jawna, że naruszono ich prawo do obrony oraz że nie otrzymali odpowiedniego czasu na przygotowanie obrony. Wreszcie twierdzili, że spędziwszy noc, przemieszczając się pomiędzy trzema różnymi komendami, a potem w fatalnych warunkach w areszcie na komendzie w Kitay-Gorodzie, nie byli w stanie stanąć następnego dnia przed sądem i podjąć skuteczną obronę.</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2. Ocena Trybunału</w:t>
      </w:r>
    </w:p>
    <w:p w:rsidR="00A52C5C" w:rsidRPr="00B025B2" w:rsidRDefault="00A52C5C" w:rsidP="00A500BE">
      <w:pPr>
        <w:spacing w:after="0" w:line="240" w:lineRule="auto"/>
        <w:ind w:right="567"/>
        <w:jc w:val="both"/>
        <w:rPr>
          <w:sz w:val="12"/>
          <w:szCs w:val="12"/>
          <w:lang w:val="pl-PL"/>
        </w:rPr>
      </w:pPr>
    </w:p>
    <w:p w:rsidR="00A52C5C" w:rsidRPr="00320267" w:rsidRDefault="00A52C5C" w:rsidP="00A500BE">
      <w:pPr>
        <w:spacing w:after="0" w:line="240" w:lineRule="auto"/>
        <w:ind w:left="595" w:right="567" w:firstLine="285"/>
        <w:jc w:val="both"/>
        <w:rPr>
          <w:rFonts w:ascii="Times New Roman" w:hAnsi="Times New Roman" w:cs="Times New Roman"/>
          <w:sz w:val="24"/>
          <w:szCs w:val="24"/>
        </w:rPr>
      </w:pPr>
      <w:r w:rsidRPr="009C0834">
        <w:rPr>
          <w:rFonts w:ascii="Times New Roman" w:hAnsi="Times New Roman" w:cs="Times New Roman"/>
          <w:sz w:val="24"/>
          <w:szCs w:val="24"/>
          <w:lang w:val="pl-PL"/>
        </w:rPr>
        <w:t xml:space="preserve">82. Chociaż dopuszczalność dowodów podlega przede wszystkim zasadom prawa krajowego, zadaniem Trybunału pozostaje ustalenie, czy postępowanie rozpatrywane jako całość było sprawiedliwe zgodnie z art. 6 § 1 (zob. </w:t>
      </w:r>
      <w:r w:rsidRPr="009C0834">
        <w:rPr>
          <w:rFonts w:ascii="Times New Roman" w:hAnsi="Times New Roman" w:cs="Times New Roman"/>
          <w:i/>
          <w:iCs/>
          <w:sz w:val="24"/>
          <w:szCs w:val="24"/>
          <w:lang w:val="pl-PL"/>
        </w:rPr>
        <w:t>Delta przeciwko Francji</w:t>
      </w:r>
      <w:r w:rsidRPr="009C0834">
        <w:rPr>
          <w:rFonts w:ascii="Times New Roman" w:hAnsi="Times New Roman" w:cs="Times New Roman"/>
          <w:sz w:val="24"/>
          <w:szCs w:val="24"/>
          <w:lang w:val="pl-PL"/>
        </w:rPr>
        <w:t xml:space="preserve">, 19 grudnia 1990 r., § 35, Seria A nr 191, oraz </w:t>
      </w:r>
      <w:r w:rsidRPr="009C0834">
        <w:rPr>
          <w:rFonts w:ascii="Times New Roman" w:hAnsi="Times New Roman" w:cs="Times New Roman"/>
          <w:i/>
          <w:iCs/>
          <w:sz w:val="24"/>
          <w:szCs w:val="24"/>
          <w:lang w:val="pl-PL"/>
        </w:rPr>
        <w:t>Vidal przeciwko Belgii</w:t>
      </w:r>
      <w:r w:rsidRPr="009C0834">
        <w:rPr>
          <w:rFonts w:ascii="Times New Roman" w:hAnsi="Times New Roman" w:cs="Times New Roman"/>
          <w:sz w:val="24"/>
          <w:szCs w:val="24"/>
          <w:lang w:val="pl-PL"/>
        </w:rPr>
        <w:t xml:space="preserve">, 22 kwietnia 1992 r., § 33, Seria A nr 235-B). W kontekście przeprowadzania dowodu Trybunał wymagał, aby skarżący „miał rozsądną możliwość przedstawienia swojej sprawy na warunkach, które nie stawiają go w gorszej sytuacji niż przeciwnika” (zob. </w:t>
      </w:r>
      <w:r w:rsidRPr="00B025B2">
        <w:rPr>
          <w:rFonts w:ascii="Times New Roman" w:hAnsi="Times New Roman" w:cs="Times New Roman"/>
          <w:i/>
          <w:iCs/>
          <w:sz w:val="24"/>
          <w:szCs w:val="24"/>
        </w:rPr>
        <w:t>Bulut przeciwko Austrii</w:t>
      </w:r>
      <w:r w:rsidRPr="00B025B2">
        <w:rPr>
          <w:rFonts w:ascii="Times New Roman" w:hAnsi="Times New Roman" w:cs="Times New Roman"/>
          <w:sz w:val="24"/>
          <w:szCs w:val="24"/>
        </w:rPr>
        <w:t xml:space="preserve">, 22 lutego 1996 r., § 47, </w:t>
      </w:r>
      <w:r w:rsidRPr="00B025B2">
        <w:rPr>
          <w:rFonts w:ascii="Times New Roman" w:hAnsi="Times New Roman" w:cs="Times New Roman"/>
          <w:i/>
          <w:iCs/>
          <w:sz w:val="24"/>
          <w:szCs w:val="24"/>
        </w:rPr>
        <w:t xml:space="preserve">Reports of Judgments and Decisions </w:t>
      </w:r>
      <w:r w:rsidRPr="00B025B2">
        <w:rPr>
          <w:rFonts w:ascii="Times New Roman" w:hAnsi="Times New Roman" w:cs="Times New Roman"/>
          <w:sz w:val="24"/>
          <w:szCs w:val="24"/>
        </w:rPr>
        <w:t xml:space="preserve">1996-II, oraz </w:t>
      </w:r>
      <w:r w:rsidRPr="00B025B2">
        <w:rPr>
          <w:rFonts w:ascii="Times New Roman" w:hAnsi="Times New Roman" w:cs="Times New Roman"/>
          <w:i/>
          <w:iCs/>
          <w:sz w:val="24"/>
          <w:szCs w:val="24"/>
        </w:rPr>
        <w:t>Kasparov</w:t>
      </w:r>
      <w:r w:rsidRPr="00B025B2">
        <w:rPr>
          <w:rFonts w:ascii="Times New Roman" w:hAnsi="Times New Roman" w:cs="Times New Roman"/>
          <w:sz w:val="24"/>
          <w:szCs w:val="24"/>
        </w:rPr>
        <w:t>, op. cit., §§ 58-65).</w:t>
      </w:r>
    </w:p>
    <w:p w:rsidR="00A52C5C" w:rsidRPr="00B025B2" w:rsidRDefault="00A52C5C" w:rsidP="0044621B">
      <w:pPr>
        <w:pStyle w:val="Styl1"/>
        <w:rPr>
          <w:lang/>
        </w:rPr>
      </w:pPr>
      <w:r w:rsidRPr="009C0834">
        <w:rPr>
          <w:lang/>
        </w:rPr>
        <w:t>83. Trybunał ustalił w związku z tym, że strony postępowania administracyjnego spierały się co do okoliczności starcia skarżących z oddziałami prewencji (zob. paragraf 58 powyżej).</w:t>
      </w:r>
      <w:r>
        <w:rPr>
          <w:lang/>
        </w:rPr>
        <w:t xml:space="preserve"> </w:t>
      </w:r>
      <w:r w:rsidRPr="009C0834">
        <w:rPr>
          <w:lang/>
        </w:rPr>
        <w:t xml:space="preserve">Jednak sądy biorące udział w tym postępowaniu zdecydowały się oprzeć swoje wyroki wyłącznie na wersji przedstawionej przez policję i nie dopuściły dodatkowych dowodów, takich jak nagranie wideo czy wezwanie innych świadków, kiedy skarżący chcieli udowodnić, że policja nie wydała żadnych poleceń przed ich zatrzymaniem. Trybunał uważa, że w sporze co do kluczowych faktów będących podstawą postawionych zarzutów, gdzie jedynymi świadkami oskarżenia byli funkcjonariusze policji, którzy brali aktywny udział w omawianych wydarzeniach, Sąd Pokoju oraz Sąd Rejonowy Tverskoy koniecznie musiał skorzystać z każdej rozsądnej możliwości weryfikacji ich obciążających oświadczeń (zob. </w:t>
      </w:r>
      <w:r w:rsidRPr="009C0834">
        <w:rPr>
          <w:i/>
          <w:iCs/>
          <w:lang/>
        </w:rPr>
        <w:t xml:space="preserve">Kasparov, </w:t>
      </w:r>
      <w:r w:rsidRPr="009C0834">
        <w:rPr>
          <w:lang/>
        </w:rPr>
        <w:t xml:space="preserve">op. cit. § 64). Niezastosowanie się do tego było sprzeczne z podstawowym wymogiem udowodnienia przez stronę skarżącą swojej sprawy oraz jednej z podstawowych zasad prawa karnego, mianowicie </w:t>
      </w:r>
      <w:r>
        <w:rPr>
          <w:i/>
          <w:iCs/>
          <w:lang/>
        </w:rPr>
        <w:t>i</w:t>
      </w:r>
      <w:r w:rsidRPr="009C0834">
        <w:rPr>
          <w:i/>
          <w:iCs/>
          <w:lang/>
        </w:rPr>
        <w:t xml:space="preserve">n dubio pro reo </w:t>
      </w:r>
      <w:r w:rsidRPr="009C0834">
        <w:rPr>
          <w:lang/>
        </w:rPr>
        <w:t xml:space="preserve">(zob. na zasadzie </w:t>
      </w:r>
      <w:r w:rsidRPr="0044621B">
        <w:rPr>
          <w:i/>
          <w:iCs/>
          <w:lang/>
        </w:rPr>
        <w:t>mutatis mutandis</w:t>
      </w:r>
      <w:r w:rsidRPr="009C0834">
        <w:rPr>
          <w:lang/>
        </w:rPr>
        <w:t xml:space="preserve"> </w:t>
      </w:r>
      <w:r w:rsidRPr="009C0834">
        <w:rPr>
          <w:rFonts w:ascii="Times New Roman" w:hAnsi="Times New Roman"/>
          <w:i/>
          <w:iCs/>
          <w:lang/>
        </w:rPr>
        <w:t>Barberà, Messegué i Jabardo przeciwko Hiszpanii</w:t>
      </w:r>
      <w:r w:rsidRPr="009C0834">
        <w:rPr>
          <w:lang/>
        </w:rPr>
        <w:t xml:space="preserve">, 6 grudnia 1988 r., § 77, Seria A nr 146; </w:t>
      </w:r>
      <w:r w:rsidRPr="009C0834">
        <w:rPr>
          <w:i/>
          <w:iCs/>
          <w:lang/>
        </w:rPr>
        <w:t>Lavents przeciwko Łotwie</w:t>
      </w:r>
      <w:r w:rsidRPr="009C0834">
        <w:rPr>
          <w:lang/>
        </w:rPr>
        <w:t xml:space="preserve">, </w:t>
      </w:r>
      <w:hyperlink r:id="rId19">
        <w:r w:rsidRPr="009C0834">
          <w:rPr>
            <w:lang/>
          </w:rPr>
          <w:t>skarga nr 58442</w:t>
        </w:r>
      </w:hyperlink>
      <w:r w:rsidRPr="009C0834">
        <w:rPr>
          <w:lang/>
        </w:rPr>
        <w:t xml:space="preserve">/00, § 125, 28 listopad 2002 r.; oraz </w:t>
      </w:r>
      <w:r w:rsidRPr="009C0834">
        <w:rPr>
          <w:i/>
          <w:iCs/>
          <w:lang/>
        </w:rPr>
        <w:t>Melich i Beck przeciwko Republice Czeskiej</w:t>
      </w:r>
      <w:r w:rsidRPr="009C0834">
        <w:rPr>
          <w:lang/>
        </w:rPr>
        <w:t>, skarga nr 35450/04, § 49, 24 lipca 2008 r.).</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84. Dodatkowo, Trybunał zauważa, że sądy ograniczyły zakres sprawy administracyjnej do domniemanego nieposłuszeństwa skarżących, pominąwszy rozpatrzenie „zgodności z prawem” polecenia policji i odrzuciwszy istotne pytania zadane funkcjonariuszom policji w ramach pytań do świadków strony przeciwnej (zob. paragraf 33 powyżej por. </w:t>
      </w:r>
      <w:r w:rsidRPr="009C0834">
        <w:rPr>
          <w:rFonts w:ascii="Times New Roman" w:hAnsi="Times New Roman" w:cs="Times New Roman"/>
          <w:i/>
          <w:iCs/>
          <w:sz w:val="24"/>
          <w:szCs w:val="24"/>
          <w:lang w:val="pl-PL"/>
        </w:rPr>
        <w:t xml:space="preserve">Makhmudov przeciwko Rosji </w:t>
      </w:r>
      <w:r w:rsidRPr="009C0834">
        <w:rPr>
          <w:rFonts w:ascii="Times New Roman" w:hAnsi="Times New Roman" w:cs="Times New Roman"/>
          <w:sz w:val="24"/>
          <w:szCs w:val="24"/>
          <w:lang w:val="pl-PL"/>
        </w:rPr>
        <w:t>skarga nr 35082/04, § 82, 26 lipca 2007 r.). Nałożyły zatem karę na skarżących za działania chronione na mocy Konwencji, bez wezwania policji do złożenia wyjaśnień uzasadniających ingerencję w przysługujące skarżącym prawo do swobodnego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wbrew zasadzie równości stron.</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85. Wskazane powyżej okoliczności są wystarczające do tego, aby Trybunał był w stanie orzec, że postępowanie administracyjne przeciwko skarżącym, rozpatrywane jako całość, zostało przeprowadzone z naruszeniem prawa do sprawiedliwego rozpatrzenia sprawy na mocy art. 6 § 1 Konwencji.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86. W świetle tych ustaleń Trybunał nie uważa, aby konieczne było rozpatrywane pozostałej części zarzutów skarżących na podstawie art. 6 §§ 1 i 3 Konwencji (zob. jednak paragraf 95 poniżej).</w:t>
      </w:r>
    </w:p>
    <w:p w:rsidR="00A52C5C" w:rsidRDefault="00A52C5C" w:rsidP="00A500BE">
      <w:pPr>
        <w:spacing w:after="0" w:line="240" w:lineRule="auto"/>
        <w:ind w:right="567"/>
        <w:jc w:val="both"/>
        <w:rPr>
          <w:sz w:val="15"/>
          <w:szCs w:val="15"/>
          <w:lang w:val="pl-PL"/>
        </w:rPr>
      </w:pPr>
    </w:p>
    <w:p w:rsidR="00A52C5C" w:rsidRPr="00B025B2" w:rsidRDefault="00A52C5C" w:rsidP="00A500BE">
      <w:pPr>
        <w:spacing w:after="0" w:line="240" w:lineRule="auto"/>
        <w:ind w:right="567"/>
        <w:jc w:val="both"/>
        <w:rPr>
          <w:sz w:val="15"/>
          <w:szCs w:val="15"/>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III. ZARZUT NARUSZENIA ART. 5 KONWENCJI</w:t>
      </w:r>
    </w:p>
    <w:p w:rsidR="00A52C5C" w:rsidRDefault="00A52C5C" w:rsidP="00A500BE">
      <w:pPr>
        <w:spacing w:after="0" w:line="240" w:lineRule="auto"/>
        <w:ind w:right="567"/>
        <w:jc w:val="both"/>
        <w:rPr>
          <w:sz w:val="24"/>
          <w:szCs w:val="24"/>
          <w:lang w:val="pl-PL"/>
        </w:rPr>
      </w:pPr>
    </w:p>
    <w:p w:rsidR="00A52C5C"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87. Skarżący podnieśli, że ich zatrzymanie było arbitralne i niezgodne z prawem. Twierdzili, że pozbawienie ich wolności przez pierwsze sześć godzin po zatrzymaniu było niezgodne</w:t>
      </w:r>
      <w:r>
        <w:rPr>
          <w:rFonts w:ascii="Times New Roman" w:hAnsi="Times New Roman" w:cs="Times New Roman"/>
          <w:sz w:val="24"/>
          <w:szCs w:val="24"/>
          <w:lang w:val="pl-PL"/>
        </w:rPr>
        <w:t xml:space="preserve"> z prawem krajowym, </w:t>
      </w:r>
      <w:r w:rsidRPr="00BF140B">
        <w:rPr>
          <w:rFonts w:ascii="Times New Roman" w:hAnsi="Times New Roman" w:cs="Times New Roman"/>
          <w:sz w:val="24"/>
          <w:szCs w:val="24"/>
          <w:lang w:val="pl-PL"/>
        </w:rPr>
        <w:t xml:space="preserve">a późniejsze aresztowanie </w:t>
      </w:r>
      <w:r w:rsidRPr="009C0834">
        <w:rPr>
          <w:rFonts w:ascii="Times New Roman" w:hAnsi="Times New Roman" w:cs="Times New Roman"/>
          <w:sz w:val="24"/>
          <w:szCs w:val="24"/>
          <w:lang w:val="pl-PL"/>
        </w:rPr>
        <w:t>na komendzie policji w Kitay-Gorodzie nie był</w:t>
      </w:r>
      <w:r>
        <w:rPr>
          <w:rFonts w:ascii="Times New Roman" w:hAnsi="Times New Roman" w:cs="Times New Roman"/>
          <w:sz w:val="24"/>
          <w:szCs w:val="24"/>
          <w:lang w:val="pl-PL"/>
        </w:rPr>
        <w:t>o uzasadnione</w:t>
      </w:r>
      <w:r w:rsidRPr="009C0834">
        <w:rPr>
          <w:rFonts w:ascii="Times New Roman" w:hAnsi="Times New Roman" w:cs="Times New Roman"/>
          <w:sz w:val="24"/>
          <w:szCs w:val="24"/>
          <w:lang w:val="pl-PL"/>
        </w:rPr>
        <w:t xml:space="preserve">. </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Art. 5 § 1 stanowi </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w zakresie, w jakim ma to znaczenie dla niniejszej sprawy - co następuje:</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“1. Każdy ma prawo do wolności i bezpieczeństwa osobistego. Nikt nie może być pozbawiony wolności, z wyjątkiem następujących przypadków i w trybie ustalonym przez prawo:</w:t>
      </w:r>
    </w:p>
    <w:p w:rsidR="00A52C5C" w:rsidRDefault="00A52C5C" w:rsidP="00A500BE">
      <w:pPr>
        <w:spacing w:after="0" w:line="240" w:lineRule="auto"/>
        <w:ind w:left="1163" w:right="567"/>
        <w:jc w:val="both"/>
        <w:rPr>
          <w:rFonts w:ascii="Times New Roman" w:hAnsi="Times New Roman" w:cs="Times New Roman"/>
          <w:sz w:val="20"/>
          <w:szCs w:val="20"/>
          <w:lang w:val="pl-PL"/>
        </w:rPr>
      </w:pPr>
    </w:p>
    <w:p w:rsidR="00A52C5C" w:rsidRPr="00B025B2" w:rsidRDefault="00A52C5C" w:rsidP="00A500BE">
      <w:pPr>
        <w:spacing w:after="0" w:line="240" w:lineRule="auto"/>
        <w:ind w:left="1163" w:right="567"/>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(a) zgodnego z prawem pozbawienia wolności w wyniku skazania przez właściwy sąd;</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(b) zgodnego z prawem zatrzymania lub aresztowania w wypadku niepodporządkowania się wydanemu zgodnie z prawem orzeczeniu sądu lub w celu zapewnienia wykonania określonego w ustawie obowiązku;</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(c) zgodnego z prawem zatrzymania lub aresztowania w celu postawienia przed właściwym organem, jeżeli istnieje uzasadnione podejrzenie popełnienia czynu zagrożonego karą lub jeśli jest to konieczne w celu zapobieżenia popełnieniu takiego czynu lub uniemożliwienia ucieczki po jego dokonaniu;</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(d) pozbawienia nieletniego wolności na podstawie zgodnego z prawem orzeczenia w celu ustanowienia nadzoru wychowawczego lub zgodnego z prawem pozbawienia nieletniego wolności w celu postawienia go przed właściwym organem;</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(e) zgodnego z prawem pozbawienia wolności osoby w celu zapobieżenia szerzeniu przez nią choroby zakaźnej, osoby umysłowo chorej, alkoholika, narkomana lub włóczęgi;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(f) zgodnego z prawem zatrzymania lub aresztowania osoby w celu zapobieżenia jej nielegalnemu wkroczeniu na terytorium państwa lub osoby, przeciwko której toczy się postępowanie o wydalenie lub ekstradycję.”</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Dopuszczalność</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88. Trybunał pragnie zauważyć, że niniejsza część skargi nie może zostać uznana za </w:t>
      </w:r>
      <w:r>
        <w:rPr>
          <w:rFonts w:ascii="Times New Roman" w:hAnsi="Times New Roman" w:cs="Times New Roman"/>
          <w:sz w:val="24"/>
          <w:szCs w:val="24"/>
          <w:lang w:val="pl-PL"/>
        </w:rPr>
        <w:t>w sposób oczywisty nieuzasadnioną</w:t>
      </w:r>
      <w:r w:rsidRPr="009C0834">
        <w:rPr>
          <w:rFonts w:ascii="Times New Roman" w:hAnsi="Times New Roman" w:cs="Times New Roman"/>
          <w:sz w:val="24"/>
          <w:szCs w:val="24"/>
          <w:lang w:val="pl-PL"/>
        </w:rPr>
        <w:t xml:space="preserve"> w rozumieniu art. 35 § 3 </w:t>
      </w:r>
      <w:r>
        <w:rPr>
          <w:rFonts w:ascii="Times New Roman" w:hAnsi="Times New Roman" w:cs="Times New Roman"/>
          <w:sz w:val="24"/>
          <w:szCs w:val="24"/>
          <w:lang w:val="pl-PL"/>
        </w:rPr>
        <w:t xml:space="preserve"> lit. a) </w:t>
      </w:r>
      <w:r w:rsidRPr="009C0834">
        <w:rPr>
          <w:rFonts w:ascii="Times New Roman" w:hAnsi="Times New Roman" w:cs="Times New Roman"/>
          <w:sz w:val="24"/>
          <w:szCs w:val="24"/>
          <w:lang w:val="pl-PL"/>
        </w:rPr>
        <w:t>Konwencji. W opinii Trybunału nie jest też niedopuszczalna z żadnych innych przyczyn. W związku z powyższym musi ona zostać uznana za dopuszczalną.</w:t>
      </w: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Przedmiot</w:t>
      </w:r>
      <w:r w:rsidRPr="009C0834">
        <w:rPr>
          <w:rFonts w:ascii="Times New Roman" w:hAnsi="Times New Roman" w:cs="Times New Roman"/>
          <w:b/>
          <w:bCs/>
          <w:sz w:val="24"/>
          <w:szCs w:val="24"/>
          <w:lang w:val="pl-PL"/>
        </w:rPr>
        <w:t xml:space="preserve"> sprawy</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1. Stanowiska stron</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pStyle w:val="Styl1"/>
        <w:rPr>
          <w:lang/>
        </w:rPr>
      </w:pPr>
      <w:r w:rsidRPr="009C0834">
        <w:rPr>
          <w:lang/>
        </w:rPr>
        <w:t xml:space="preserve">89. Rząd stwierdził, że skarżący nie zastosowali się do polecenia funkcjonariuszy policji dotyczącego przerwania nielegalnego marszu i zignorowali polecenie udania się do policyjnego busa w celu sporządzenia raportu w sprawie wykroczenia administracyjnego. Według Rządu skarżący stawiali aktywny opór policji, naruszając w ten sposób art. 19.3 Kodeksu wykroczeń administracyjnych, a policja zatrzymała ich, aby przerwać naruszanie prawa zgodnie z art. 27.2 Kodeksu. Rząd zgodził się, że skarżący byli w areszcie policyjnym od chwili zatrzymania o godz. 20.45 </w:t>
      </w:r>
      <w:r>
        <w:rPr>
          <w:lang/>
        </w:rPr>
        <w:t xml:space="preserve">dnia </w:t>
      </w:r>
      <w:r w:rsidRPr="009C0834">
        <w:rPr>
          <w:lang/>
        </w:rPr>
        <w:t xml:space="preserve">5 grudnia 2011 r. do godz. 10.00 (w przypadku drugiego skarżącego) i 15.00 (w przypadku pierwszego skarżącego) następnego dnia. Rząd potwierdził również, że </w:t>
      </w:r>
      <w:r w:rsidRPr="00BF140B">
        <w:rPr>
          <w:lang/>
        </w:rPr>
        <w:t>okres  aresztowania</w:t>
      </w:r>
      <w:r w:rsidRPr="009C0834">
        <w:rPr>
          <w:lang/>
        </w:rPr>
        <w:t xml:space="preserve"> skarżących był liczony od godz. 2.30 </w:t>
      </w:r>
      <w:r>
        <w:rPr>
          <w:lang/>
        </w:rPr>
        <w:t xml:space="preserve">dnia </w:t>
      </w:r>
      <w:r w:rsidRPr="009C0834">
        <w:rPr>
          <w:lang/>
        </w:rPr>
        <w:t>6 grudnia 2011 r., tj. godziny, kiedy zostali zabrani na komendę policji w Kitay-Gorodzie. Opierając się na art. 27.5 § 3 Kodeksu, twierdzi</w:t>
      </w:r>
      <w:r>
        <w:rPr>
          <w:lang/>
        </w:rPr>
        <w:t>ł</w:t>
      </w:r>
      <w:r w:rsidRPr="009C0834">
        <w:rPr>
          <w:lang/>
        </w:rPr>
        <w:t>, że okresy tymczasowego aresztowania skarżących nie przekroczyły ustawowej granicy czterdziestu ośmiu godzin.</w:t>
      </w:r>
    </w:p>
    <w:p w:rsidR="00A52C5C" w:rsidRPr="00B025B2" w:rsidRDefault="00A52C5C" w:rsidP="00E6104E">
      <w:pPr>
        <w:pStyle w:val="Styl1"/>
        <w:rPr>
          <w:lang/>
        </w:rPr>
      </w:pPr>
      <w:r w:rsidRPr="009C0834">
        <w:rPr>
          <w:lang/>
        </w:rPr>
        <w:t>90. Skarżący podtrzymali swoje zarzuty. Twierdzili, że ich zatrzymanie nie było konieczne do sporządzenia raportu policyjnego;</w:t>
      </w:r>
      <w:r>
        <w:rPr>
          <w:lang/>
        </w:rPr>
        <w:t xml:space="preserve"> </w:t>
      </w:r>
      <w:r w:rsidRPr="009C0834">
        <w:rPr>
          <w:lang/>
        </w:rPr>
        <w:t xml:space="preserve">że przez pierwszych sześć godzin po zatrzymaniu byli bezprawnie przetrzymywani bez nakazu zatrzymania podczas transportu pomiędzy trzema kolejnymi komendami policji oraz że po sporządzeniu raportów na komendzie policji w Kitay-Gorodzie nie było powodu, aby </w:t>
      </w:r>
      <w:r w:rsidRPr="00E6104E">
        <w:rPr>
          <w:lang/>
        </w:rPr>
        <w:t>tymczasowo aresztować ich</w:t>
      </w:r>
      <w:r w:rsidRPr="009C0834">
        <w:rPr>
          <w:lang/>
        </w:rPr>
        <w:t xml:space="preserve"> do czasu rozpatrzenia sprawy przez Sąd Pokoju.</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2. Ocena Trybunału</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91. Trybunał pragnie przypomnieć, że sformułowania „zgodnie z prawem” i „w trybie ustalonym przez prawo” w art. 5 § 1 zasadniczo odnoszą się do prawa krajowego i nakładają obowiązek działania zgodnie z jego zasadami materialnoprawnymi, jak i formalnoprawnymi. Jednak „zgodność z prawem” </w:t>
      </w:r>
      <w:r w:rsidRPr="00BF140B">
        <w:rPr>
          <w:rFonts w:ascii="Times New Roman" w:hAnsi="Times New Roman" w:cs="Times New Roman"/>
          <w:sz w:val="24"/>
          <w:szCs w:val="24"/>
          <w:lang w:val="pl-PL"/>
        </w:rPr>
        <w:t>pozbawienia wolności według przepisów prawa krajowego nie zawsze jest czynnikiem decydującym. Trybunał musi być jeszcze przekonany, że pozbawienie wolności przez</w:t>
      </w:r>
      <w:r w:rsidRPr="009C0834">
        <w:rPr>
          <w:rFonts w:ascii="Times New Roman" w:hAnsi="Times New Roman" w:cs="Times New Roman"/>
          <w:sz w:val="24"/>
          <w:szCs w:val="24"/>
          <w:lang w:val="pl-PL"/>
        </w:rPr>
        <w:t xml:space="preserve"> rozważany okres </w:t>
      </w:r>
      <w:r>
        <w:rPr>
          <w:rFonts w:ascii="Times New Roman" w:hAnsi="Times New Roman" w:cs="Times New Roman"/>
          <w:sz w:val="24"/>
          <w:szCs w:val="24"/>
          <w:lang w:val="pl-PL"/>
        </w:rPr>
        <w:t xml:space="preserve">czasu </w:t>
      </w:r>
      <w:r w:rsidRPr="009C0834">
        <w:rPr>
          <w:rFonts w:ascii="Times New Roman" w:hAnsi="Times New Roman" w:cs="Times New Roman"/>
          <w:sz w:val="24"/>
          <w:szCs w:val="24"/>
          <w:lang w:val="pl-PL"/>
        </w:rPr>
        <w:t>był</w:t>
      </w:r>
      <w:r>
        <w:rPr>
          <w:rFonts w:ascii="Times New Roman" w:hAnsi="Times New Roman" w:cs="Times New Roman"/>
          <w:sz w:val="24"/>
          <w:szCs w:val="24"/>
          <w:lang w:val="pl-PL"/>
        </w:rPr>
        <w:t>o zgodne</w:t>
      </w:r>
      <w:r w:rsidRPr="009C0834">
        <w:rPr>
          <w:rFonts w:ascii="Times New Roman" w:hAnsi="Times New Roman" w:cs="Times New Roman"/>
          <w:sz w:val="24"/>
          <w:szCs w:val="24"/>
          <w:lang w:val="pl-PL"/>
        </w:rPr>
        <w:t xml:space="preserve"> z celem art. 5 § 1 Konwencji, który chroni przed arbitralnym pozbawieniem wolności. Dodatkowo, lista wyjątków od prawa do wolności zagwarantowanego w art. 5 § 1 jest wyczerpująca i jedynie wąska ich interpretacja zachowuje spójność z celem tego przepisu, tj. zagwarantowaniem, aby nikt nie został arbitralnie pozbawiony wolności (zob. </w:t>
      </w:r>
      <w:r w:rsidRPr="009C0834">
        <w:rPr>
          <w:rFonts w:ascii="Times New Roman" w:hAnsi="Times New Roman" w:cs="Times New Roman"/>
          <w:i/>
          <w:iCs/>
          <w:sz w:val="24"/>
          <w:szCs w:val="24"/>
          <w:lang w:val="pl-PL"/>
        </w:rPr>
        <w:t>Giulia Manzoni przeciwko Włochom</w:t>
      </w:r>
      <w:r w:rsidRPr="009C0834">
        <w:rPr>
          <w:rFonts w:ascii="Times New Roman" w:hAnsi="Times New Roman" w:cs="Times New Roman"/>
          <w:sz w:val="24"/>
          <w:szCs w:val="24"/>
          <w:lang w:val="pl-PL"/>
        </w:rPr>
        <w:t>, 1 lipca 1997</w:t>
      </w:r>
      <w:r>
        <w:rPr>
          <w:rFonts w:ascii="Times New Roman" w:hAnsi="Times New Roman" w:cs="Times New Roman"/>
          <w:sz w:val="24"/>
          <w:szCs w:val="24"/>
          <w:lang w:val="pl-PL"/>
        </w:rPr>
        <w:t xml:space="preserve"> r.</w:t>
      </w:r>
      <w:r w:rsidRPr="009C0834">
        <w:rPr>
          <w:rFonts w:ascii="Times New Roman" w:hAnsi="Times New Roman" w:cs="Times New Roman"/>
          <w:sz w:val="24"/>
          <w:szCs w:val="24"/>
          <w:lang w:val="pl-PL"/>
        </w:rPr>
        <w:t xml:space="preserve">, § 25, </w:t>
      </w:r>
      <w:r w:rsidRPr="009C0834">
        <w:rPr>
          <w:rFonts w:ascii="Times New Roman" w:hAnsi="Times New Roman" w:cs="Times New Roman"/>
          <w:i/>
          <w:iCs/>
          <w:sz w:val="24"/>
          <w:szCs w:val="24"/>
          <w:lang w:val="pl-PL"/>
        </w:rPr>
        <w:t xml:space="preserve">Reports </w:t>
      </w:r>
      <w:r w:rsidRPr="009C0834">
        <w:rPr>
          <w:rFonts w:ascii="Times New Roman" w:hAnsi="Times New Roman" w:cs="Times New Roman"/>
          <w:sz w:val="24"/>
          <w:szCs w:val="24"/>
          <w:lang w:val="pl-PL"/>
        </w:rPr>
        <w:t>1997-IV).</w:t>
      </w:r>
    </w:p>
    <w:p w:rsidR="00A52C5C" w:rsidRPr="00B025B2" w:rsidRDefault="00A52C5C" w:rsidP="00A500BE">
      <w:pPr>
        <w:pStyle w:val="Styl1"/>
        <w:rPr>
          <w:lang/>
        </w:rPr>
      </w:pPr>
      <w:r w:rsidRPr="009C0834">
        <w:rPr>
          <w:lang/>
        </w:rPr>
        <w:t xml:space="preserve">92. Strony nie sprzeczają się co do tego, że od godz. 20.45 </w:t>
      </w:r>
      <w:r>
        <w:rPr>
          <w:lang/>
        </w:rPr>
        <w:t xml:space="preserve">dnia </w:t>
      </w:r>
      <w:r w:rsidRPr="009C0834">
        <w:rPr>
          <w:lang/>
        </w:rPr>
        <w:t xml:space="preserve">5 grudnia 2011 </w:t>
      </w:r>
      <w:r>
        <w:rPr>
          <w:lang/>
        </w:rPr>
        <w:t xml:space="preserve">r. </w:t>
      </w:r>
      <w:r w:rsidRPr="009C0834">
        <w:rPr>
          <w:lang/>
        </w:rPr>
        <w:t xml:space="preserve">skarżący zostali pozbawieni wolności w rozumieniu art. 5 § 1 Konwencji. Wydaje się, że ich zatrzymanie i </w:t>
      </w:r>
      <w:r w:rsidRPr="00BF140B">
        <w:rPr>
          <w:lang/>
        </w:rPr>
        <w:t>aresztowanie</w:t>
      </w:r>
      <w:r w:rsidRPr="009C0834">
        <w:rPr>
          <w:lang/>
        </w:rPr>
        <w:t xml:space="preserve"> miały na celu doprowadzenie ich przed właściwy organ sądowy pod zarzutem popełnienia wykroczenia administracyjnego, co mieści się w zakresie zastosowania art. 5 § 1 </w:t>
      </w:r>
      <w:r>
        <w:rPr>
          <w:lang/>
        </w:rPr>
        <w:t xml:space="preserve">lit. </w:t>
      </w:r>
      <w:r w:rsidRPr="009C0834">
        <w:rPr>
          <w:lang/>
        </w:rPr>
        <w:t>c) Konwencji. Rząd twierdził, że podstawą prawną zatrzymania był art. 27.2 Kodeksu wykroczeń administracyjnych, który uprawniał policję do doprowadzenia, tj. przewiezienia, osób na komendę policji w celu sporządzenia raportu w sprawie wykroczenia administracyjnego.</w:t>
      </w:r>
    </w:p>
    <w:p w:rsidR="00A52C5C" w:rsidRPr="00B025B2" w:rsidRDefault="00A52C5C" w:rsidP="00A500BE">
      <w:pPr>
        <w:pStyle w:val="Styl1"/>
        <w:rPr>
          <w:lang/>
        </w:rPr>
      </w:pPr>
      <w:r w:rsidRPr="009C0834">
        <w:rPr>
          <w:lang/>
        </w:rPr>
        <w:t xml:space="preserve">93. Trybunał uznał w związku z tym, że doprowadzenie skarżących na komendę nie wydawało się koniecznie potrzebne w okolicznościach </w:t>
      </w:r>
      <w:r>
        <w:rPr>
          <w:lang/>
        </w:rPr>
        <w:t xml:space="preserve">obecnej </w:t>
      </w:r>
      <w:r w:rsidRPr="009C0834">
        <w:rPr>
          <w:lang/>
        </w:rPr>
        <w:t xml:space="preserve">sprawy (zob. paragraf </w:t>
      </w:r>
      <w:r w:rsidRPr="00BF140B">
        <w:rPr>
          <w:lang/>
        </w:rPr>
        <w:t>68 powyżej). Zauważa również, że art. 27.5 § 4 Kodeksu wykroczeń administracyjnych wyraźnie wyłącza czas doprowadzenia z okresu późniejszego aresztowania administracyjnego. Choć prawo nie uznaje doprowadzenia za część aresztowania administracyjnego, nie określa ono maksymalnego czasu trwania samego doprowadzenia, prawdopodobnie dlatego, że miał on być nieznaczny. Dla porównania, czas aresztowania administracyjnego nie powinien z zasady przekraczać</w:t>
      </w:r>
      <w:r w:rsidRPr="009C0834">
        <w:rPr>
          <w:lang/>
        </w:rPr>
        <w:t xml:space="preserve"> trzech godzin, co wskazuje na czas, który uznano w prawie za rozsądny i wystarczający na sporządzenie raportu w sprawie wykroczenia administracyjnego.</w:t>
      </w:r>
    </w:p>
    <w:p w:rsidR="00A52C5C" w:rsidRPr="00B025B2" w:rsidRDefault="00A52C5C" w:rsidP="00E6104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94. Trybunał zwraca uwagę na fakt, że po zatrzymaniu skarżący zostali zabrani kolejno na trzy komendy policji i dopiero na trzeciej sporządzono raporty w sprawie wykroczenia administracyjnego, co miało miejsce o godz. </w:t>
      </w:r>
      <w:r w:rsidRPr="0023783A">
        <w:rPr>
          <w:rFonts w:ascii="Times New Roman" w:hAnsi="Times New Roman" w:cs="Times New Roman"/>
          <w:sz w:val="24"/>
          <w:szCs w:val="24"/>
          <w:lang w:val="pl-PL"/>
        </w:rPr>
        <w:t>2.30 6 grudnia 2011 r.</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 xml:space="preserve">Trybunał zauważa, że </w:t>
      </w:r>
      <w:r w:rsidRPr="00BF140B">
        <w:rPr>
          <w:rFonts w:ascii="Times New Roman" w:hAnsi="Times New Roman" w:cs="Times New Roman"/>
          <w:sz w:val="24"/>
          <w:szCs w:val="24"/>
          <w:lang w:val="pl-PL"/>
        </w:rPr>
        <w:t>zgodnie z art. 27.5 § 4 Kodeksu okres aresztowania administracyjnego jest liczon</w:t>
      </w:r>
      <w:r w:rsidRPr="009C0834">
        <w:rPr>
          <w:rFonts w:ascii="Times New Roman" w:hAnsi="Times New Roman" w:cs="Times New Roman"/>
          <w:sz w:val="24"/>
          <w:szCs w:val="24"/>
          <w:lang w:val="pl-PL"/>
        </w:rPr>
        <w:t>y od chwili, kiedy podejrzany zostanie doprowadzony na komendę policji, a według niego skarżący zostali doprowadzeni o godz. 21.40, kiedy konwój dotarł na pierwszą komendę w Severnoye Izmaylovo. Nie jest jasne, dlaczego raporty nie zostały sporządzone na tej komendzie, biorąc pod uwagę, że skarżący spędzili tam trzy godziny i dokonano kontroli osobistej, która została udokumentowana w protokole z kontroli osobistej. Rząd nie wyjaśnił, dlaczego skarżący zostali przewiezieni na dwie pozostałe komendy i dlaczego raport w sprawie wykroczenia administracyjnego nie został sporządzony na pierwszej, czy nawet drugiej komendzie policji, co ty</w:t>
      </w:r>
      <w:r>
        <w:rPr>
          <w:rFonts w:ascii="Times New Roman" w:hAnsi="Times New Roman" w:cs="Times New Roman"/>
          <w:sz w:val="24"/>
          <w:szCs w:val="24"/>
          <w:lang w:val="pl-PL"/>
        </w:rPr>
        <w:t xml:space="preserve">czy się również wydania </w:t>
      </w:r>
      <w:r w:rsidRPr="00BF140B">
        <w:rPr>
          <w:rFonts w:ascii="Times New Roman" w:hAnsi="Times New Roman" w:cs="Times New Roman"/>
          <w:sz w:val="24"/>
          <w:szCs w:val="24"/>
          <w:lang w:val="pl-PL"/>
        </w:rPr>
        <w:t>nakazu aresztowania.</w:t>
      </w:r>
    </w:p>
    <w:p w:rsidR="00A52C5C" w:rsidRPr="009C0834" w:rsidRDefault="00A52C5C" w:rsidP="00A500BE">
      <w:pPr>
        <w:pStyle w:val="Styl1"/>
        <w:rPr>
          <w:lang/>
        </w:rPr>
      </w:pPr>
      <w:r w:rsidRPr="009C0834">
        <w:rPr>
          <w:lang/>
        </w:rPr>
        <w:t xml:space="preserve">95. „Tranzyt” skarżących przed dotarciem na komendę policji w Kitay-Gorodzie trwał niemal sześć godzin, przy czym nie sporządzono żadnej dokumentacji w tej sprawie i nie liczono tego jako </w:t>
      </w:r>
      <w:r w:rsidRPr="00BF140B">
        <w:rPr>
          <w:lang/>
        </w:rPr>
        <w:t>aresztowania administracyjnego. Zgodnie z uzasadnieniem Rządu prawo n</w:t>
      </w:r>
      <w:r w:rsidRPr="009C0834">
        <w:rPr>
          <w:lang/>
        </w:rPr>
        <w:t>ie zostałoby naruszone nawet</w:t>
      </w:r>
      <w:r>
        <w:rPr>
          <w:lang/>
        </w:rPr>
        <w:t>, jeśliby</w:t>
      </w:r>
      <w:r w:rsidRPr="009C0834">
        <w:rPr>
          <w:lang/>
        </w:rPr>
        <w:t xml:space="preserve"> czas trwania przewozu był dłuższy. Wobec powyższego Trybunał uznaje, że okres ten stanowił nieudokumentowan</w:t>
      </w:r>
      <w:r>
        <w:rPr>
          <w:lang/>
        </w:rPr>
        <w:t>e</w:t>
      </w:r>
      <w:r w:rsidRPr="009C0834">
        <w:rPr>
          <w:lang/>
        </w:rPr>
        <w:t xml:space="preserve"> i nieuznan</w:t>
      </w:r>
      <w:r>
        <w:rPr>
          <w:lang/>
        </w:rPr>
        <w:t>e pozbawienie wolności</w:t>
      </w:r>
      <w:r w:rsidRPr="009C0834">
        <w:rPr>
          <w:lang/>
        </w:rPr>
        <w:t xml:space="preserve">, co według niezmiennej opinii Trybunału jest </w:t>
      </w:r>
      <w:r>
        <w:rPr>
          <w:lang/>
        </w:rPr>
        <w:t>całkowitym</w:t>
      </w:r>
      <w:r w:rsidRPr="009C0834">
        <w:rPr>
          <w:lang/>
        </w:rPr>
        <w:t xml:space="preserve"> zaprzeczeniem niezwykle ważnych gwarancji zawartych w art. 5 Konwencji i ukazuje najbardziej rażące naruszenie tego przepisu (zob. </w:t>
      </w:r>
      <w:r w:rsidRPr="009C0834">
        <w:rPr>
          <w:i/>
          <w:iCs/>
          <w:lang/>
        </w:rPr>
        <w:t>Fedotov przeciwko Rosji</w:t>
      </w:r>
      <w:r w:rsidRPr="009C0834">
        <w:rPr>
          <w:lang/>
        </w:rPr>
        <w:t xml:space="preserve">, skarga nr </w:t>
      </w:r>
      <w:hyperlink r:id="rId20">
        <w:r w:rsidRPr="009C0834">
          <w:rPr>
            <w:lang/>
          </w:rPr>
          <w:t>5140/02</w:t>
        </w:r>
      </w:hyperlink>
      <w:r w:rsidRPr="009C0834">
        <w:rPr>
          <w:lang/>
        </w:rPr>
        <w:t xml:space="preserve">, § 78, 25 października 2005 r.; Menesheva, op. cit., § 87; </w:t>
      </w:r>
      <w:r w:rsidRPr="009C0834">
        <w:rPr>
          <w:i/>
          <w:iCs/>
          <w:lang/>
        </w:rPr>
        <w:t>Belousov przeciwko Rosji</w:t>
      </w:r>
      <w:r w:rsidRPr="009C0834">
        <w:rPr>
          <w:lang/>
        </w:rPr>
        <w:t xml:space="preserve">, skarga nr 1748/02, § 73, 2 października 2008 r.; oraz </w:t>
      </w:r>
      <w:r w:rsidRPr="009C0834">
        <w:rPr>
          <w:i/>
          <w:iCs/>
          <w:lang/>
        </w:rPr>
        <w:t>Aleksandr Sokolov przeciwko Rosji</w:t>
      </w:r>
      <w:r w:rsidRPr="009C0834">
        <w:rPr>
          <w:lang/>
        </w:rPr>
        <w:t xml:space="preserve">, skarga nr 20364/05, §§ 71-72, 4 listopada 2010 r.; zob. też </w:t>
      </w:r>
      <w:r w:rsidRPr="009C0834">
        <w:rPr>
          <w:i/>
          <w:iCs/>
          <w:lang/>
        </w:rPr>
        <w:t>Kurt przeciwko Turcji</w:t>
      </w:r>
      <w:r w:rsidRPr="009C0834">
        <w:rPr>
          <w:lang/>
        </w:rPr>
        <w:t xml:space="preserve">, 25 maja 1998 r., § 125, </w:t>
      </w:r>
      <w:r w:rsidRPr="009C0834">
        <w:rPr>
          <w:i/>
          <w:iCs/>
          <w:lang/>
        </w:rPr>
        <w:t xml:space="preserve">Reports </w:t>
      </w:r>
      <w:r w:rsidRPr="009C0834">
        <w:rPr>
          <w:lang/>
        </w:rPr>
        <w:t xml:space="preserve">1998-III, oraz </w:t>
      </w:r>
      <w:r w:rsidRPr="009C0834">
        <w:rPr>
          <w:i/>
          <w:iCs/>
          <w:lang/>
        </w:rPr>
        <w:t>Anguelova przeciwko Bułgarii</w:t>
      </w:r>
      <w:r w:rsidRPr="009C0834">
        <w:rPr>
          <w:lang/>
        </w:rPr>
        <w:t>, skarga nr 38361/97, § 157, ETPC 2002-IV).</w:t>
      </w:r>
    </w:p>
    <w:p w:rsidR="00A52C5C" w:rsidRPr="00B025B2" w:rsidRDefault="00A52C5C" w:rsidP="00A500BE">
      <w:pPr>
        <w:pStyle w:val="Styl1"/>
        <w:rPr>
          <w:lang/>
        </w:rPr>
      </w:pPr>
      <w:r w:rsidRPr="009C0834">
        <w:rPr>
          <w:lang/>
        </w:rPr>
        <w:t xml:space="preserve">96. Wreszcie Trybunał zauważa, że w chwili sporządzenia raportów w sprawie wykroczenia administracyjnego na komendzie policji w Kitay-Gorodzie cel doprowadzenia skarżących na komendę został osiągnięty. Jednak zamiast zwolnienia o 2.30 </w:t>
      </w:r>
      <w:r>
        <w:rPr>
          <w:lang/>
        </w:rPr>
        <w:t xml:space="preserve">dnia </w:t>
      </w:r>
      <w:r w:rsidRPr="009C0834">
        <w:rPr>
          <w:lang/>
        </w:rPr>
        <w:t xml:space="preserve">6 grudnia 2011 r. skarżący zostali formalnie tymczasowo aresztowani w celu zabezpieczenia ich udziału w rozprawie przed Sądem Pokoju. Rząd twierdził, że okres </w:t>
      </w:r>
      <w:r w:rsidRPr="00BF140B">
        <w:rPr>
          <w:lang/>
        </w:rPr>
        <w:t>aresztowania skarżących</w:t>
      </w:r>
      <w:r w:rsidRPr="009C0834">
        <w:rPr>
          <w:lang/>
        </w:rPr>
        <w:t xml:space="preserve"> nie przekroczył czterdziestoośmiogodzinnego okresu przewidzianego w art. 27.5 § 3 Kodeksu wykroczeń administracyjnych. Jednak ani Rząd, ani inne władze krajowe nie przedstawiły uzasadnienia wyboru tego środka tymczasowego. Trybunał pragnie przypomnieć, że pozbawienie wolności jednostki jest środkiem na tyle dolegliwym, że powinien on być stosowany jedynie wtedy, gdy inne mniej surowe środki były rozważane i zostały uznane za niewystarczające dla zabezpieczenia interesu prywatnego lub publicznego mogącego wymagać, aby dana osoba została pozbawiona wolności. Nie wystarczy, aby pozbawienie </w:t>
      </w:r>
      <w:r>
        <w:rPr>
          <w:lang/>
        </w:rPr>
        <w:t>wolności</w:t>
      </w:r>
      <w:r w:rsidRPr="009C0834">
        <w:rPr>
          <w:lang/>
        </w:rPr>
        <w:t xml:space="preserve"> było zgodne z prawem krajowym; musi ono być również konieczne ze względu na okoliczności danej sprawy (zob. </w:t>
      </w:r>
      <w:r w:rsidRPr="009C0834">
        <w:rPr>
          <w:i/>
          <w:iCs/>
          <w:lang/>
        </w:rPr>
        <w:t>Witold Litwa przeciwko Polsce</w:t>
      </w:r>
      <w:r w:rsidRPr="009C0834">
        <w:rPr>
          <w:lang/>
        </w:rPr>
        <w:t xml:space="preserve">, skarga nr 26629/95, § 78, ETPC 2000-III, oraz </w:t>
      </w:r>
      <w:r w:rsidRPr="009C0834">
        <w:rPr>
          <w:i/>
          <w:iCs/>
          <w:lang/>
        </w:rPr>
        <w:t>Enhorn przeciwko Szwecji</w:t>
      </w:r>
      <w:r w:rsidRPr="009C0834">
        <w:rPr>
          <w:lang/>
        </w:rPr>
        <w:t>, skarga nr 56529/00, § 42, ETPC 2005-I).</w:t>
      </w:r>
    </w:p>
    <w:p w:rsidR="00A52C5C" w:rsidRDefault="00A52C5C" w:rsidP="00E32ECB">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Na pierwszy rzut oka nie było powodu, aby podejrzewać, że skarżący zbiegną lub w inny sposób zakłócą działanie wymiaru sprawiedliwości, a to władze mają zawsze obowiązek udowodnić takie zagrożenie. Wobec niepodania przez władze wyraźnych powodów uniemożliwiających zwolnienie skarżących Trybunał uważa, że </w:t>
      </w:r>
      <w:r w:rsidRPr="00BF140B">
        <w:rPr>
          <w:rFonts w:ascii="Times New Roman" w:hAnsi="Times New Roman" w:cs="Times New Roman"/>
          <w:sz w:val="24"/>
          <w:szCs w:val="24"/>
          <w:lang w:val="pl-PL"/>
        </w:rPr>
        <w:t>nocne aresztowanie</w:t>
      </w:r>
      <w:r>
        <w:rPr>
          <w:rFonts w:ascii="Times New Roman" w:hAnsi="Times New Roman" w:cs="Times New Roman"/>
          <w:sz w:val="24"/>
          <w:szCs w:val="24"/>
          <w:lang w:val="pl-PL"/>
        </w:rPr>
        <w:t xml:space="preserve"> na</w:t>
      </w:r>
      <w:r w:rsidRPr="009C0834">
        <w:rPr>
          <w:rFonts w:ascii="Times New Roman" w:hAnsi="Times New Roman" w:cs="Times New Roman"/>
          <w:sz w:val="24"/>
          <w:szCs w:val="24"/>
          <w:lang w:val="pl-PL"/>
        </w:rPr>
        <w:t xml:space="preserve"> komendzie policji w Kitay-Gorodzie był</w:t>
      </w:r>
      <w:r>
        <w:rPr>
          <w:rFonts w:ascii="Times New Roman" w:hAnsi="Times New Roman" w:cs="Times New Roman"/>
          <w:sz w:val="24"/>
          <w:szCs w:val="24"/>
          <w:lang w:val="pl-PL"/>
        </w:rPr>
        <w:t>o nieuzasadnione i arbitralne</w:t>
      </w:r>
      <w:r w:rsidRPr="009C0834">
        <w:rPr>
          <w:rFonts w:ascii="Times New Roman" w:hAnsi="Times New Roman" w:cs="Times New Roman"/>
          <w:sz w:val="24"/>
          <w:szCs w:val="24"/>
          <w:lang w:val="pl-PL"/>
        </w:rPr>
        <w:t>.</w:t>
      </w:r>
    </w:p>
    <w:p w:rsidR="00A52C5C" w:rsidRPr="00B025B2" w:rsidRDefault="00A52C5C" w:rsidP="00E32ECB">
      <w:pPr>
        <w:spacing w:after="0" w:line="240" w:lineRule="auto"/>
        <w:ind w:left="595" w:right="567" w:firstLine="125"/>
        <w:jc w:val="both"/>
        <w:rPr>
          <w:rFonts w:ascii="Times New Roman" w:hAnsi="Times New Roman" w:cs="Times New Roman"/>
          <w:sz w:val="24"/>
          <w:szCs w:val="24"/>
          <w:lang w:val="pl-PL"/>
        </w:rPr>
      </w:pPr>
    </w:p>
    <w:p w:rsidR="00A52C5C" w:rsidRPr="00B025B2" w:rsidRDefault="00A52C5C" w:rsidP="00A500BE">
      <w:pPr>
        <w:pStyle w:val="Styl1"/>
        <w:rPr>
          <w:lang/>
        </w:rPr>
      </w:pPr>
      <w:r w:rsidRPr="009C0834">
        <w:rPr>
          <w:lang/>
        </w:rPr>
        <w:t xml:space="preserve">97. Podsumowując, Trybunał uznaje, że zatrzymanie i </w:t>
      </w:r>
      <w:r w:rsidRPr="00BF140B">
        <w:rPr>
          <w:lang/>
        </w:rPr>
        <w:t>pozbawienie wolności</w:t>
      </w:r>
      <w:r w:rsidRPr="009C0834">
        <w:rPr>
          <w:lang/>
        </w:rPr>
        <w:t xml:space="preserve"> skarżących </w:t>
      </w:r>
      <w:r>
        <w:rPr>
          <w:lang/>
        </w:rPr>
        <w:t xml:space="preserve">w dniach </w:t>
      </w:r>
      <w:r w:rsidRPr="009C0834">
        <w:rPr>
          <w:lang/>
        </w:rPr>
        <w:t>5 i 6 grudnia 2011 r. były niezgodne z prawem i arbitralne. Uznaje</w:t>
      </w:r>
      <w:r>
        <w:rPr>
          <w:lang/>
        </w:rPr>
        <w:t>, że</w:t>
      </w:r>
      <w:r w:rsidRPr="009C0834">
        <w:rPr>
          <w:lang/>
        </w:rPr>
        <w:t xml:space="preserve"> nieuzasadnione doprowadzenie na komendę policji, nieudokumentowan</w:t>
      </w:r>
      <w:r>
        <w:rPr>
          <w:lang/>
        </w:rPr>
        <w:t>e</w:t>
      </w:r>
      <w:r w:rsidRPr="009C0834">
        <w:rPr>
          <w:lang/>
        </w:rPr>
        <w:t xml:space="preserve"> i </w:t>
      </w:r>
      <w:r>
        <w:rPr>
          <w:lang/>
        </w:rPr>
        <w:t>nieuznane</w:t>
      </w:r>
      <w:r w:rsidRPr="009C0834">
        <w:rPr>
          <w:lang/>
        </w:rPr>
        <w:t xml:space="preserve"> sześciogodzinn</w:t>
      </w:r>
      <w:r>
        <w:rPr>
          <w:lang/>
        </w:rPr>
        <w:t>e pozbawienie wolności</w:t>
      </w:r>
      <w:r w:rsidRPr="009C0834">
        <w:rPr>
          <w:lang/>
        </w:rPr>
        <w:t xml:space="preserve"> podczas tranzytu oraz brak powodów do tymczasowego aresztowania na komendzie policji w Kitay-Gorodzie </w:t>
      </w:r>
      <w:r>
        <w:rPr>
          <w:lang/>
        </w:rPr>
        <w:t>stanowią</w:t>
      </w:r>
      <w:r w:rsidRPr="009C0834">
        <w:rPr>
          <w:lang/>
        </w:rPr>
        <w:t xml:space="preserve"> naruszenie prawa skarżących do wolności.</w:t>
      </w:r>
    </w:p>
    <w:p w:rsidR="00A52C5C" w:rsidRPr="00B025B2" w:rsidRDefault="00A52C5C" w:rsidP="00A500BE">
      <w:pPr>
        <w:pStyle w:val="Styl1"/>
        <w:rPr>
          <w:lang/>
        </w:rPr>
      </w:pPr>
      <w:r w:rsidRPr="009C0834">
        <w:rPr>
          <w:lang/>
        </w:rPr>
        <w:t>98. W związku z powyższym doszło do naruszenia art. 5 § 1 Konwencji w przypadku obydwu skarżących.</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953" w:right="567" w:hanging="358"/>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IV. ZARZUT NARUSZENIA </w:t>
      </w:r>
      <w:r>
        <w:rPr>
          <w:rFonts w:ascii="Times New Roman" w:hAnsi="Times New Roman" w:cs="Times New Roman"/>
          <w:sz w:val="24"/>
          <w:szCs w:val="24"/>
          <w:lang w:val="pl-PL"/>
        </w:rPr>
        <w:t>ART.</w:t>
      </w:r>
      <w:r w:rsidRPr="009C0834">
        <w:rPr>
          <w:rFonts w:ascii="Times New Roman" w:hAnsi="Times New Roman" w:cs="Times New Roman"/>
          <w:sz w:val="24"/>
          <w:szCs w:val="24"/>
          <w:lang w:val="pl-PL"/>
        </w:rPr>
        <w:t xml:space="preserve"> 3 I 13 KONWENCJI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99. Skarżący podnieśli również zarzut rzekomo złych warunków na komendzie policji w Kitay-Gorodzie oraz w czasie przewożenia ich na trzy kolejne komendy policji po zatrzymaniu</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Art. 3 Konwencji brzmi następująco:</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pStyle w:val="Styl2"/>
        <w:jc w:val="both"/>
        <w:rPr>
          <w:lang/>
        </w:rPr>
      </w:pPr>
      <w:r w:rsidRPr="009C0834">
        <w:rPr>
          <w:lang/>
        </w:rPr>
        <w:t>„Nikt nie może być poddany torturom ani nieludzkiemu lub poniżającemu traktowaniu albo karaniu.”</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Skarżący podnieśli również, że nie mieli do dyspozycji skutecznego środka odwoławczego od naruszenia gwarancji braku złego traktowania</w:t>
      </w:r>
      <w:r>
        <w:rPr>
          <w:rFonts w:ascii="Times New Roman" w:hAnsi="Times New Roman" w:cs="Times New Roman"/>
          <w:sz w:val="24"/>
          <w:szCs w:val="24"/>
          <w:lang w:val="pl-PL"/>
        </w:rPr>
        <w:t>, czego wymaga</w:t>
      </w:r>
      <w:r w:rsidRPr="009C0834">
        <w:rPr>
          <w:rFonts w:ascii="Times New Roman" w:hAnsi="Times New Roman" w:cs="Times New Roman"/>
          <w:sz w:val="24"/>
          <w:szCs w:val="24"/>
          <w:lang w:val="pl-PL"/>
        </w:rPr>
        <w:t xml:space="preserve"> art. 13 Konwencji, który ma następujące brzmienie:</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pStyle w:val="Styl2"/>
        <w:jc w:val="both"/>
        <w:rPr>
          <w:lang/>
        </w:rPr>
      </w:pPr>
      <w:r w:rsidRPr="009C0834">
        <w:rPr>
          <w:lang/>
        </w:rPr>
        <w:t>„Każdy, kogo prawa i wolności zawarte w niniejszej Konwencji zostały naruszone, ma prawo do skutecznego środka odwoławczego do właściwego organu państwowego (...)”</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Default="00A52C5C" w:rsidP="00A500BE">
      <w:pPr>
        <w:spacing w:after="0" w:line="240" w:lineRule="auto"/>
        <w:ind w:left="828" w:right="567"/>
        <w:jc w:val="both"/>
        <w:rPr>
          <w:rFonts w:ascii="Times New Roman" w:hAnsi="Times New Roman" w:cs="Times New Roman"/>
          <w:b/>
          <w:bCs/>
          <w:sz w:val="24"/>
          <w:szCs w:val="24"/>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Dopuszczalność</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100. Rząd twierdził, że skarżący nie wyczerpali skutecznego środka odwoławczego, z którego mogli skorzystać, aby wnieść skargę na rzekome naruszenie ich praw wynikających z art. 3 Konwencji, w szczególności w odniesieniu do rzekomego braku pożywienia, pościeli, oświetlenia i wentylacji. Uważał, że skarga złożona w prokuraturze pozwoliłaby właściwej władzy rozstrzygnąć ich sytuację.</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101. Co do istoty Rząd częściowo zakwestionował opis warunków </w:t>
      </w:r>
      <w:r>
        <w:rPr>
          <w:rFonts w:ascii="Times New Roman" w:hAnsi="Times New Roman" w:cs="Times New Roman"/>
          <w:sz w:val="24"/>
          <w:szCs w:val="24"/>
          <w:lang w:val="pl-PL"/>
        </w:rPr>
        <w:t xml:space="preserve">pozbawienia wolności </w:t>
      </w:r>
      <w:r w:rsidRPr="009C0834">
        <w:rPr>
          <w:rFonts w:ascii="Times New Roman" w:hAnsi="Times New Roman" w:cs="Times New Roman"/>
          <w:sz w:val="24"/>
          <w:szCs w:val="24"/>
          <w:lang w:val="pl-PL"/>
        </w:rPr>
        <w:t xml:space="preserve">w celi na komendzie policji przedstawiony przez skarżących i przedstawił alternatywną wersję przytoczoną w paragrafie 20 powyżej. Twierdził, że warunki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skarżących były zgodne z art. 3 Konwencji.</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102. Skarżący nie zgodzili się z twierdzeniami Rządu dotyczący</w:t>
      </w:r>
      <w:r>
        <w:rPr>
          <w:rFonts w:ascii="Times New Roman" w:hAnsi="Times New Roman" w:cs="Times New Roman"/>
          <w:sz w:val="24"/>
          <w:szCs w:val="24"/>
          <w:lang w:val="pl-PL"/>
        </w:rPr>
        <w:t>mi</w:t>
      </w:r>
      <w:r w:rsidRPr="009C0834">
        <w:rPr>
          <w:rFonts w:ascii="Times New Roman" w:hAnsi="Times New Roman" w:cs="Times New Roman"/>
          <w:sz w:val="24"/>
          <w:szCs w:val="24"/>
          <w:lang w:val="pl-PL"/>
        </w:rPr>
        <w:t xml:space="preserve"> niewykorzystania krajowych środków odwoławczych, i twierdzili, że próbowali różnych dróg do uzyskania zadośćuczynienia. Utrzymywali, że nie mieli dostępu do skutecznego środka odwoławczego w związku ze skargami dotyczącymi nieodpowiednich warunków </w:t>
      </w:r>
      <w:r w:rsidRPr="00E03A2C">
        <w:rPr>
          <w:rFonts w:ascii="Times New Roman" w:hAnsi="Times New Roman" w:cs="Times New Roman"/>
          <w:sz w:val="24"/>
          <w:szCs w:val="24"/>
          <w:lang w:val="pl-PL"/>
        </w:rPr>
        <w:t>pozbawienia wolności</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 xml:space="preserve">i przewozu. Wskazali, że </w:t>
      </w:r>
      <w:r>
        <w:rPr>
          <w:rFonts w:ascii="Times New Roman" w:hAnsi="Times New Roman" w:cs="Times New Roman"/>
          <w:sz w:val="24"/>
          <w:szCs w:val="24"/>
          <w:lang w:val="pl-PL"/>
        </w:rPr>
        <w:t xml:space="preserve">dnia </w:t>
      </w:r>
      <w:r w:rsidRPr="009C0834">
        <w:rPr>
          <w:rFonts w:ascii="Times New Roman" w:hAnsi="Times New Roman" w:cs="Times New Roman"/>
          <w:sz w:val="24"/>
          <w:szCs w:val="24"/>
          <w:lang w:val="pl-PL"/>
        </w:rPr>
        <w:t xml:space="preserve">6 grudnia 2011 r. Sąd Pokoju odmówił rozpatrzenia ich skarg dotyczących warunków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i przewozu, nie podając przyczyn takiej odmowy.</w:t>
      </w:r>
    </w:p>
    <w:p w:rsidR="00A52C5C" w:rsidRPr="00B025B2" w:rsidRDefault="00A52C5C" w:rsidP="00C7229A">
      <w:pPr>
        <w:pStyle w:val="Styl1"/>
        <w:rPr>
          <w:lang/>
        </w:rPr>
      </w:pPr>
      <w:r w:rsidRPr="009C0834">
        <w:rPr>
          <w:lang/>
        </w:rPr>
        <w:t xml:space="preserve">103. Trybunał uważa, że kwestia wyczerpania krajowych środków odwoławczych jest ściśle związana z istotą skargi skarżących dotyczącej braku dostępu do skutecznego środka odwoławczego w przypadku skarg odnoszących się do nieludzkiego i poniżającego traktowania z powodu przewozu i </w:t>
      </w:r>
      <w:r>
        <w:rPr>
          <w:lang/>
        </w:rPr>
        <w:t xml:space="preserve">pozbawienia wolności </w:t>
      </w:r>
      <w:r w:rsidRPr="009C0834">
        <w:rPr>
          <w:lang/>
        </w:rPr>
        <w:t xml:space="preserve">w nieodpowiednich warunkach. Trybunał uznaje zatem za konieczne </w:t>
      </w:r>
      <w:r>
        <w:rPr>
          <w:lang/>
        </w:rPr>
        <w:t xml:space="preserve">rozpatrzenie </w:t>
      </w:r>
      <w:r w:rsidRPr="009C0834">
        <w:rPr>
          <w:lang/>
        </w:rPr>
        <w:t xml:space="preserve">zarzutu Rządu </w:t>
      </w:r>
      <w:r>
        <w:rPr>
          <w:lang/>
        </w:rPr>
        <w:t>łącznie z przedmiotem</w:t>
      </w:r>
      <w:r w:rsidRPr="009C0834">
        <w:rPr>
          <w:lang/>
        </w:rPr>
        <w:t xml:space="preserve"> skargi wniesionej przez skarżących na podstawie art. 13 Konwencji.</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104. Trybunał pragnie także zauważyć, że niniejsza część skargi nie może zostać uznana za </w:t>
      </w:r>
      <w:r>
        <w:rPr>
          <w:rFonts w:ascii="Times New Roman" w:hAnsi="Times New Roman" w:cs="Times New Roman"/>
          <w:sz w:val="24"/>
          <w:szCs w:val="24"/>
          <w:lang w:val="pl-PL"/>
        </w:rPr>
        <w:t>w sposób oczywisty nieuzasadnioną w rozumieniu art. 35 § 3 lit. a)</w:t>
      </w:r>
      <w:r w:rsidRPr="009C0834">
        <w:rPr>
          <w:rFonts w:ascii="Times New Roman" w:hAnsi="Times New Roman" w:cs="Times New Roman"/>
          <w:sz w:val="24"/>
          <w:szCs w:val="24"/>
          <w:lang w:val="pl-PL"/>
        </w:rPr>
        <w:t xml:space="preserve"> Konwencji. W opinii Trybunału nie jest też niedopuszczalna z żadnych innych przyczyn. W związku z powyższym musi ona zostać uznana za dopuszczalną.</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 xml:space="preserve">Przedmiot </w:t>
      </w:r>
      <w:r w:rsidRPr="009C0834">
        <w:rPr>
          <w:rFonts w:ascii="Times New Roman" w:hAnsi="Times New Roman" w:cs="Times New Roman"/>
          <w:b/>
          <w:bCs/>
          <w:sz w:val="24"/>
          <w:szCs w:val="24"/>
          <w:lang w:val="pl-PL"/>
        </w:rPr>
        <w:t>sprawy</w:t>
      </w:r>
    </w:p>
    <w:p w:rsidR="00A52C5C" w:rsidRPr="00B025B2" w:rsidRDefault="00A52C5C" w:rsidP="00A500BE">
      <w:pPr>
        <w:spacing w:after="0" w:line="240" w:lineRule="auto"/>
        <w:ind w:right="567"/>
        <w:jc w:val="both"/>
        <w:rPr>
          <w:lang w:val="pl-PL"/>
        </w:rPr>
      </w:pPr>
    </w:p>
    <w:p w:rsidR="00A52C5C" w:rsidRPr="00B025B2" w:rsidRDefault="00A52C5C" w:rsidP="00D70063">
      <w:pPr>
        <w:spacing w:after="0" w:line="240" w:lineRule="auto"/>
        <w:ind w:left="1276" w:right="567" w:hanging="251"/>
        <w:jc w:val="both"/>
        <w:rPr>
          <w:rFonts w:ascii="Times New Roman" w:hAnsi="Times New Roman" w:cs="Times New Roman"/>
          <w:sz w:val="24"/>
          <w:szCs w:val="24"/>
          <w:lang w:val="pl-PL"/>
        </w:rPr>
      </w:pPr>
      <w:r w:rsidRPr="009C0834">
        <w:rPr>
          <w:rFonts w:ascii="Times New Roman" w:hAnsi="Times New Roman" w:cs="Times New Roman"/>
          <w:i/>
          <w:iCs/>
          <w:sz w:val="24"/>
          <w:szCs w:val="24"/>
          <w:lang w:val="pl-PL"/>
        </w:rPr>
        <w:t xml:space="preserve">1. Wyczerpanie krajowych środków odwoławczych i </w:t>
      </w:r>
      <w:r>
        <w:rPr>
          <w:rFonts w:ascii="Times New Roman" w:hAnsi="Times New Roman" w:cs="Times New Roman"/>
          <w:i/>
          <w:iCs/>
          <w:sz w:val="24"/>
          <w:szCs w:val="24"/>
          <w:lang w:val="pl-PL"/>
        </w:rPr>
        <w:t>zarzut naruszenia</w:t>
      </w:r>
      <w:r w:rsidRPr="009C0834">
        <w:rPr>
          <w:rFonts w:ascii="Times New Roman" w:hAnsi="Times New Roman" w:cs="Times New Roman"/>
          <w:i/>
          <w:iCs/>
          <w:sz w:val="24"/>
          <w:szCs w:val="24"/>
          <w:lang w:val="pl-PL"/>
        </w:rPr>
        <w:t xml:space="preserve"> art. 13 Konwencji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105. Trybunał przypomina, że zasada wyczerpania krajowych środków odwoławczych, o której mowa w art. 35 Konwencji</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zobowiązuje osoby chcące wnieść sprawę przeciwko Państwu do Trybunału do wykorzystania wpierw środków odwoławczych przewidzianych w krajowym systemie prawnym. W efekcie Państwa nie muszą odpowiadać za swoje działania przed jakimikolwiek organami międzynarodowymi tak długo, jak mają one możliwość rozwiązania danej sprawy za pośrednictwem własnego systemu prawnego. Zasada ta opiera się na założeniu wskazanym w art. 13 Konwencji, z którym jest ona blisko związana, że istnieje skuteczny środek odwoławczy pozwalający na rozpatrzenie istoty „</w:t>
      </w:r>
      <w:r>
        <w:rPr>
          <w:rFonts w:ascii="Times New Roman" w:hAnsi="Times New Roman" w:cs="Times New Roman"/>
          <w:sz w:val="24"/>
          <w:szCs w:val="24"/>
          <w:lang w:val="pl-PL"/>
        </w:rPr>
        <w:t>dającej się uzasadnić</w:t>
      </w:r>
      <w:r w:rsidRPr="009C0834">
        <w:rPr>
          <w:rFonts w:ascii="Times New Roman" w:hAnsi="Times New Roman" w:cs="Times New Roman"/>
          <w:sz w:val="24"/>
          <w:szCs w:val="24"/>
          <w:lang w:val="pl-PL"/>
        </w:rPr>
        <w:t xml:space="preserve"> skargi” wniesionej w oparciu o przepisy Konwencji oraz zapewnienie odpowiedniego zadośćuczynienia. Co więcej, ważnym aspektem tej zasady jest to, że mechanizm ochrony ustanowiony na mocy Konwencji </w:t>
      </w:r>
      <w:r>
        <w:rPr>
          <w:rFonts w:ascii="Times New Roman" w:hAnsi="Times New Roman" w:cs="Times New Roman"/>
          <w:sz w:val="24"/>
          <w:szCs w:val="24"/>
          <w:lang w:val="pl-PL"/>
        </w:rPr>
        <w:t xml:space="preserve">ma charakter subsydiarny wobec </w:t>
      </w:r>
      <w:r w:rsidRPr="009C0834">
        <w:rPr>
          <w:rFonts w:ascii="Times New Roman" w:hAnsi="Times New Roman" w:cs="Times New Roman"/>
          <w:sz w:val="24"/>
          <w:szCs w:val="24"/>
          <w:lang w:val="pl-PL"/>
        </w:rPr>
        <w:t xml:space="preserve">krajowych systemów ochrony praw człowieka (zob. </w:t>
      </w:r>
      <w:r w:rsidRPr="009C0834">
        <w:rPr>
          <w:rFonts w:ascii="Times New Roman" w:hAnsi="Times New Roman" w:cs="Times New Roman"/>
          <w:i/>
          <w:iCs/>
          <w:sz w:val="24"/>
          <w:szCs w:val="24"/>
          <w:lang w:val="pl-PL"/>
        </w:rPr>
        <w:t xml:space="preserve">Kudła przeciwko Polsce </w:t>
      </w:r>
      <w:r w:rsidRPr="009C0834">
        <w:rPr>
          <w:rFonts w:ascii="Times New Roman" w:hAnsi="Times New Roman" w:cs="Times New Roman"/>
          <w:sz w:val="24"/>
          <w:szCs w:val="24"/>
          <w:lang w:val="pl-PL"/>
        </w:rPr>
        <w:t xml:space="preserve">[Wielka Izba], skarga nr </w:t>
      </w:r>
      <w:hyperlink r:id="rId21">
        <w:r w:rsidRPr="009C0834">
          <w:rPr>
            <w:rFonts w:ascii="Times New Roman" w:hAnsi="Times New Roman" w:cs="Times New Roman"/>
            <w:sz w:val="24"/>
            <w:szCs w:val="24"/>
            <w:lang w:val="pl-PL"/>
          </w:rPr>
          <w:t>302</w:t>
        </w:r>
      </w:hyperlink>
      <w:r w:rsidRPr="009C0834">
        <w:rPr>
          <w:rFonts w:ascii="Times New Roman" w:hAnsi="Times New Roman" w:cs="Times New Roman"/>
          <w:sz w:val="24"/>
          <w:szCs w:val="24"/>
          <w:lang w:val="pl-PL"/>
        </w:rPr>
        <w:t xml:space="preserve">10/96, § 152, ETPC 2000-XI, oraz </w:t>
      </w:r>
      <w:r w:rsidRPr="009C0834">
        <w:rPr>
          <w:rFonts w:ascii="Times New Roman" w:hAnsi="Times New Roman" w:cs="Times New Roman"/>
          <w:i/>
          <w:iCs/>
          <w:sz w:val="24"/>
          <w:szCs w:val="24"/>
          <w:lang w:val="pl-PL"/>
        </w:rPr>
        <w:t>Handyside przeciwko Zjednoczonemu Królestwu</w:t>
      </w:r>
      <w:r w:rsidRPr="009C0834">
        <w:rPr>
          <w:rFonts w:ascii="Times New Roman" w:hAnsi="Times New Roman" w:cs="Times New Roman"/>
          <w:sz w:val="24"/>
          <w:szCs w:val="24"/>
          <w:lang w:val="pl-PL"/>
        </w:rPr>
        <w:t>, 7 grudnia 1976 r., § 48, Seria A nr 24).</w:t>
      </w:r>
    </w:p>
    <w:p w:rsidR="00A52C5C" w:rsidRPr="00B025B2" w:rsidRDefault="00A52C5C" w:rsidP="002D125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106. Trybunał zauważa, że przy wielu okazjach badał skuteczność krajowego środka odwoławczego sugerowanego przez Rząd. Uznał w szczególności, że w przypadku rozpatrywania skargi dotyczącej naruszenia krajowych przepisów regulujących warunki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prokuratura nie byłaby wystarczająco niezależna, aby spełnione zostały wymagania art. 35 Konwencji (zob.</w:t>
      </w:r>
      <w:r>
        <w:rPr>
          <w:rFonts w:ascii="Times New Roman" w:hAnsi="Times New Roman" w:cs="Times New Roman"/>
          <w:sz w:val="24"/>
          <w:szCs w:val="24"/>
          <w:lang w:val="pl-PL"/>
        </w:rPr>
        <w:t xml:space="preserve"> </w:t>
      </w:r>
      <w:r w:rsidRPr="009C0834">
        <w:rPr>
          <w:rFonts w:ascii="Times New Roman" w:hAnsi="Times New Roman" w:cs="Times New Roman"/>
          <w:i/>
          <w:iCs/>
          <w:sz w:val="24"/>
          <w:szCs w:val="24"/>
          <w:lang w:val="pl-PL"/>
        </w:rPr>
        <w:t>Dirdizov przeciwko Rosji</w:t>
      </w:r>
      <w:r w:rsidRPr="009C0834">
        <w:rPr>
          <w:rFonts w:ascii="Times New Roman" w:hAnsi="Times New Roman" w:cs="Times New Roman"/>
          <w:sz w:val="24"/>
          <w:szCs w:val="24"/>
          <w:lang w:val="pl-PL"/>
        </w:rPr>
        <w:t>,</w:t>
      </w:r>
      <w:hyperlink r:id="rId22">
        <w:r w:rsidRPr="009C0834">
          <w:rPr>
            <w:rFonts w:ascii="Times New Roman" w:hAnsi="Times New Roman" w:cs="Times New Roman"/>
            <w:sz w:val="24"/>
            <w:szCs w:val="24"/>
            <w:lang w:val="pl-PL"/>
          </w:rPr>
          <w:t xml:space="preserve"> skarga nr 41461/10</w:t>
        </w:r>
      </w:hyperlink>
      <w:r w:rsidRPr="009C0834">
        <w:rPr>
          <w:rFonts w:ascii="Times New Roman" w:hAnsi="Times New Roman" w:cs="Times New Roman"/>
          <w:sz w:val="24"/>
          <w:szCs w:val="24"/>
          <w:lang w:val="pl-PL"/>
        </w:rPr>
        <w:t xml:space="preserve">, § 75, 27 listopada 2012 r., oraz </w:t>
      </w:r>
      <w:r w:rsidRPr="009C0834">
        <w:rPr>
          <w:rFonts w:ascii="Times New Roman" w:hAnsi="Times New Roman" w:cs="Times New Roman"/>
          <w:i/>
          <w:iCs/>
          <w:sz w:val="24"/>
          <w:szCs w:val="24"/>
          <w:lang w:val="pl-PL"/>
        </w:rPr>
        <w:t>Ananyev i Inni</w:t>
      </w:r>
      <w:r w:rsidRPr="009C0834">
        <w:rPr>
          <w:rFonts w:ascii="Times New Roman" w:hAnsi="Times New Roman" w:cs="Times New Roman"/>
          <w:sz w:val="24"/>
          <w:szCs w:val="24"/>
          <w:lang w:val="pl-PL"/>
        </w:rPr>
        <w:t xml:space="preserve">, </w:t>
      </w:r>
      <w:r w:rsidRPr="009C0834">
        <w:rPr>
          <w:rFonts w:ascii="Times New Roman" w:hAnsi="Times New Roman" w:cs="Times New Roman"/>
          <w:i/>
          <w:iCs/>
          <w:sz w:val="24"/>
          <w:szCs w:val="24"/>
          <w:lang w:val="pl-PL"/>
        </w:rPr>
        <w:t>Rosja</w:t>
      </w:r>
      <w:r w:rsidRPr="009C0834">
        <w:rPr>
          <w:rFonts w:ascii="Times New Roman" w:hAnsi="Times New Roman" w:cs="Times New Roman"/>
          <w:sz w:val="24"/>
          <w:szCs w:val="24"/>
          <w:lang w:val="pl-PL"/>
        </w:rPr>
        <w:t>, skargi nr 42525/07 i 60800/08, § 1</w:t>
      </w:r>
      <w:r>
        <w:rPr>
          <w:rFonts w:ascii="Times New Roman" w:hAnsi="Times New Roman" w:cs="Times New Roman"/>
          <w:sz w:val="24"/>
          <w:szCs w:val="24"/>
          <w:lang w:val="pl-PL"/>
        </w:rPr>
        <w:t>01, 10 stycznia 2012 r.). Choć kontrola ze strony</w:t>
      </w:r>
      <w:r w:rsidRPr="009C0834">
        <w:rPr>
          <w:rFonts w:ascii="Times New Roman" w:hAnsi="Times New Roman" w:cs="Times New Roman"/>
          <w:sz w:val="24"/>
          <w:szCs w:val="24"/>
          <w:lang w:val="pl-PL"/>
        </w:rPr>
        <w:t xml:space="preserve"> prokuratora nadzorującego odgrywa ważną rolę w zapewnieniu odpowiednich warunków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raport lub nakaz prokuratora jest </w:t>
      </w:r>
      <w:r>
        <w:rPr>
          <w:rFonts w:ascii="Times New Roman" w:hAnsi="Times New Roman" w:cs="Times New Roman"/>
          <w:sz w:val="24"/>
          <w:szCs w:val="24"/>
          <w:lang w:val="pl-PL"/>
        </w:rPr>
        <w:t xml:space="preserve">jednak </w:t>
      </w:r>
      <w:r w:rsidRPr="009C0834">
        <w:rPr>
          <w:rFonts w:ascii="Times New Roman" w:hAnsi="Times New Roman" w:cs="Times New Roman"/>
          <w:sz w:val="24"/>
          <w:szCs w:val="24"/>
          <w:lang w:val="pl-PL"/>
        </w:rPr>
        <w:t xml:space="preserve">przede wszystkim </w:t>
      </w:r>
      <w:r>
        <w:rPr>
          <w:rFonts w:ascii="Times New Roman" w:hAnsi="Times New Roman" w:cs="Times New Roman"/>
          <w:sz w:val="24"/>
          <w:szCs w:val="24"/>
          <w:lang w:val="pl-PL"/>
        </w:rPr>
        <w:t>sprawą pomiędzy władzą nadzorującą a</w:t>
      </w:r>
      <w:r w:rsidRPr="009C0834">
        <w:rPr>
          <w:rFonts w:ascii="Times New Roman" w:hAnsi="Times New Roman" w:cs="Times New Roman"/>
          <w:sz w:val="24"/>
          <w:szCs w:val="24"/>
          <w:lang w:val="pl-PL"/>
        </w:rPr>
        <w:t xml:space="preserve"> nadzorowanym o</w:t>
      </w:r>
      <w:r>
        <w:rPr>
          <w:rFonts w:ascii="Times New Roman" w:hAnsi="Times New Roman" w:cs="Times New Roman"/>
          <w:sz w:val="24"/>
          <w:szCs w:val="24"/>
          <w:lang w:val="pl-PL"/>
        </w:rPr>
        <w:t>rganem i nie ma na celu naprawienia krzywdy czy zadośćuczynienia</w:t>
      </w:r>
      <w:r w:rsidRPr="009C0834">
        <w:rPr>
          <w:rFonts w:ascii="Times New Roman" w:hAnsi="Times New Roman" w:cs="Times New Roman"/>
          <w:sz w:val="24"/>
          <w:szCs w:val="24"/>
          <w:lang w:val="pl-PL"/>
        </w:rPr>
        <w:t xml:space="preserve"> poszkodowanemu (zob. </w:t>
      </w:r>
      <w:r w:rsidRPr="009C0834">
        <w:rPr>
          <w:rFonts w:ascii="Times New Roman" w:hAnsi="Times New Roman" w:cs="Times New Roman"/>
          <w:i/>
          <w:iCs/>
          <w:sz w:val="24"/>
          <w:szCs w:val="24"/>
          <w:lang w:val="pl-PL"/>
        </w:rPr>
        <w:t>Dirdizov</w:t>
      </w:r>
      <w:r w:rsidRPr="009C0834">
        <w:rPr>
          <w:rFonts w:ascii="Times New Roman" w:hAnsi="Times New Roman" w:cs="Times New Roman"/>
          <w:sz w:val="24"/>
          <w:szCs w:val="24"/>
          <w:lang w:val="pl-PL"/>
        </w:rPr>
        <w:t xml:space="preserve">, § 76, oraz </w:t>
      </w:r>
      <w:r w:rsidRPr="009C0834">
        <w:rPr>
          <w:rFonts w:ascii="Times New Roman" w:hAnsi="Times New Roman" w:cs="Times New Roman"/>
          <w:i/>
          <w:iCs/>
          <w:sz w:val="24"/>
          <w:szCs w:val="24"/>
          <w:lang w:val="pl-PL"/>
        </w:rPr>
        <w:t>Ananyev i Inni</w:t>
      </w:r>
      <w:r w:rsidRPr="009C0834">
        <w:rPr>
          <w:rFonts w:ascii="Times New Roman" w:hAnsi="Times New Roman" w:cs="Times New Roman"/>
          <w:sz w:val="24"/>
          <w:szCs w:val="24"/>
          <w:lang w:val="pl-PL"/>
        </w:rPr>
        <w:t>, § 104, op. cit.).</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107. Trybunał zauważa również, że zarzuty skarżących dotyczące zbyt długiego transportu oraz złe warunki w areszcie przedstawione przed Sądem Pokoju nie zostały zbadane pod względem merytorycznym. Dodatkowo w związku z tymi zarzutami nie udzielono żadnej odpowiedzi sugerującej, aby prokuratura była najwłaściwszym organem w omawianych okolicznościach.</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108. W świetle powyższych uwag Trybunał uznaje, że droga prawna zaproponowana przez Rząd nie stanowiła skutecznego środka odwoławczego, który mógłby zostać wykorzystany w celu zapobieżenia rzekomym naruszeniom lub dals</w:t>
      </w:r>
      <w:r>
        <w:rPr>
          <w:rFonts w:ascii="Times New Roman" w:hAnsi="Times New Roman" w:cs="Times New Roman"/>
          <w:sz w:val="24"/>
          <w:szCs w:val="24"/>
          <w:lang w:val="pl-PL"/>
        </w:rPr>
        <w:t>zemu ich trwaniu oraz zapewnienia</w:t>
      </w:r>
      <w:r w:rsidRPr="009C0834">
        <w:rPr>
          <w:rFonts w:ascii="Times New Roman" w:hAnsi="Times New Roman" w:cs="Times New Roman"/>
          <w:sz w:val="24"/>
          <w:szCs w:val="24"/>
          <w:lang w:val="pl-PL"/>
        </w:rPr>
        <w:t xml:space="preserve"> skarżącym odpowiednie</w:t>
      </w:r>
      <w:r>
        <w:rPr>
          <w:rFonts w:ascii="Times New Roman" w:hAnsi="Times New Roman" w:cs="Times New Roman"/>
          <w:sz w:val="24"/>
          <w:szCs w:val="24"/>
          <w:lang w:val="pl-PL"/>
        </w:rPr>
        <w:t>go</w:t>
      </w:r>
      <w:r w:rsidRPr="009C0834">
        <w:rPr>
          <w:rFonts w:ascii="Times New Roman" w:hAnsi="Times New Roman" w:cs="Times New Roman"/>
          <w:sz w:val="24"/>
          <w:szCs w:val="24"/>
          <w:lang w:val="pl-PL"/>
        </w:rPr>
        <w:t xml:space="preserve"> i wystarczające</w:t>
      </w:r>
      <w:r>
        <w:rPr>
          <w:rFonts w:ascii="Times New Roman" w:hAnsi="Times New Roman" w:cs="Times New Roman"/>
          <w:sz w:val="24"/>
          <w:szCs w:val="24"/>
          <w:lang w:val="pl-PL"/>
        </w:rPr>
        <w:t>go</w:t>
      </w:r>
      <w:r w:rsidRPr="009C0834">
        <w:rPr>
          <w:rFonts w:ascii="Times New Roman" w:hAnsi="Times New Roman" w:cs="Times New Roman"/>
          <w:sz w:val="24"/>
          <w:szCs w:val="24"/>
          <w:lang w:val="pl-PL"/>
        </w:rPr>
        <w:t xml:space="preserve"> zadośćuczynieni</w:t>
      </w:r>
      <w:r>
        <w:rPr>
          <w:rFonts w:ascii="Times New Roman" w:hAnsi="Times New Roman" w:cs="Times New Roman"/>
          <w:sz w:val="24"/>
          <w:szCs w:val="24"/>
          <w:lang w:val="pl-PL"/>
        </w:rPr>
        <w:t>a</w:t>
      </w:r>
      <w:r w:rsidRPr="009C083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odniesieniu do ich skarg opartych na </w:t>
      </w:r>
      <w:r w:rsidRPr="009C0834">
        <w:rPr>
          <w:rFonts w:ascii="Times New Roman" w:hAnsi="Times New Roman" w:cs="Times New Roman"/>
          <w:sz w:val="24"/>
          <w:szCs w:val="24"/>
          <w:lang w:val="pl-PL"/>
        </w:rPr>
        <w:t>art. 3 Konwencji. Wobec powyższego Trybunał oddala zarzut Rządu dotyczący niewyczerpania krajowych środków odwoławczych.</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109. Trybunał uważa również, że skarżący nie mieli do dyspozycji skutecznego krajowego środka odwoławczego w </w:t>
      </w:r>
      <w:r>
        <w:rPr>
          <w:rFonts w:ascii="Times New Roman" w:hAnsi="Times New Roman" w:cs="Times New Roman"/>
          <w:sz w:val="24"/>
          <w:szCs w:val="24"/>
          <w:lang w:val="pl-PL"/>
        </w:rPr>
        <w:t>odniesieniu do ich</w:t>
      </w:r>
      <w:r w:rsidRPr="009C0834">
        <w:rPr>
          <w:rFonts w:ascii="Times New Roman" w:hAnsi="Times New Roman" w:cs="Times New Roman"/>
          <w:sz w:val="24"/>
          <w:szCs w:val="24"/>
          <w:lang w:val="pl-PL"/>
        </w:rPr>
        <w:t xml:space="preserve"> skargi dotyczącej rzekomo długiego transportu i złych warunków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naruszających art. 13 Konwencji (zob. </w:t>
      </w:r>
      <w:r w:rsidRPr="009C0834">
        <w:rPr>
          <w:rFonts w:ascii="Times New Roman" w:hAnsi="Times New Roman" w:cs="Times New Roman"/>
          <w:i/>
          <w:iCs/>
          <w:sz w:val="24"/>
          <w:szCs w:val="24"/>
          <w:lang w:val="pl-PL"/>
        </w:rPr>
        <w:t>M.S. przeciwko Rosji</w:t>
      </w:r>
      <w:r w:rsidRPr="009C0834">
        <w:rPr>
          <w:rFonts w:ascii="Times New Roman" w:hAnsi="Times New Roman" w:cs="Times New Roman"/>
          <w:sz w:val="24"/>
          <w:szCs w:val="24"/>
          <w:lang w:val="pl-PL"/>
        </w:rPr>
        <w:t>, skarga nr 8589/08, § 86, 10 lipca 2014 r.)</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1025" w:right="567"/>
        <w:jc w:val="both"/>
        <w:rPr>
          <w:rFonts w:ascii="Times New Roman" w:hAnsi="Times New Roman" w:cs="Times New Roman"/>
          <w:sz w:val="24"/>
          <w:szCs w:val="24"/>
          <w:lang w:val="pl-PL"/>
        </w:rPr>
      </w:pPr>
      <w:r>
        <w:rPr>
          <w:rFonts w:ascii="Times New Roman" w:hAnsi="Times New Roman" w:cs="Times New Roman"/>
          <w:i/>
          <w:iCs/>
          <w:sz w:val="24"/>
          <w:szCs w:val="24"/>
          <w:lang w:val="pl-PL"/>
        </w:rPr>
        <w:t>2. Zarzut naruszenia</w:t>
      </w:r>
      <w:r w:rsidRPr="009C0834">
        <w:rPr>
          <w:rFonts w:ascii="Times New Roman" w:hAnsi="Times New Roman" w:cs="Times New Roman"/>
          <w:i/>
          <w:iCs/>
          <w:sz w:val="24"/>
          <w:szCs w:val="24"/>
          <w:lang w:val="pl-PL"/>
        </w:rPr>
        <w:t xml:space="preserve"> art. 3 Konwencji</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110. Trybunał zauważa, że Rząd przyjął wersję transportu przedstawioną przez skarżących oraz częściowo przyjął ich opis warunków w areszcie. Potwierdził w szczególności, że skarżący przybyli na Komendę Rejonową Policji Kitay-Gorod o godz. 2.30, tj. niemal sześć godzin po ich zatrzymaniu</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oraz że w tym czasie nie otrzymali oni żadnego jedzenia. Rząd uznał również najważniejsze fakty dotyczące warunków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 xml:space="preserve"> na Komendzie Rejonowej Policji Kitay-Gorod z wyjątkiem wymiarów celi. Dodatkowo fotografie przedłożone przez Rząd potwierdziły twierdzenia skarżących, że cela miała betonową podłogę, nie miała okien, urządzeń sanitarnych oraz mebli z wyjątkiem dwóch 47-centymetrowych ław bez materaców. Strony zgadzają się, że pierwszy skarżący przebywał w tej celi przez około dwanaście godzin, natomiast drugi przez około siedem. Strony różnią się co do kwestii, czy skarżącym zapewniono jedzenie, wodę pitną i pościel.</w:t>
      </w:r>
    </w:p>
    <w:p w:rsidR="00A52C5C" w:rsidRPr="00B025B2" w:rsidRDefault="00A52C5C" w:rsidP="0081260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111. Trybunał pragnie przypomnieć, że badał już warunki </w:t>
      </w:r>
      <w:r>
        <w:rPr>
          <w:rFonts w:ascii="Times New Roman" w:hAnsi="Times New Roman" w:cs="Times New Roman"/>
          <w:sz w:val="24"/>
          <w:szCs w:val="24"/>
          <w:lang w:val="pl-PL"/>
        </w:rPr>
        <w:t xml:space="preserve">pozbawienia wolności </w:t>
      </w:r>
      <w:r w:rsidRPr="009C0834">
        <w:rPr>
          <w:rFonts w:ascii="Times New Roman" w:hAnsi="Times New Roman" w:cs="Times New Roman"/>
          <w:sz w:val="24"/>
          <w:szCs w:val="24"/>
          <w:lang w:val="pl-PL"/>
        </w:rPr>
        <w:t xml:space="preserve">na komendzie w różnych regionach Rosji i uznał, że naruszają one art. 3 (zob. </w:t>
      </w:r>
      <w:r w:rsidRPr="009C0834">
        <w:rPr>
          <w:rFonts w:ascii="Times New Roman" w:hAnsi="Times New Roman" w:cs="Times New Roman"/>
          <w:i/>
          <w:iCs/>
          <w:sz w:val="24"/>
          <w:szCs w:val="24"/>
          <w:lang w:val="pl-PL"/>
        </w:rPr>
        <w:t>Shchebet przeciwko Rosji</w:t>
      </w:r>
      <w:r>
        <w:rPr>
          <w:rFonts w:ascii="Times New Roman" w:hAnsi="Times New Roman" w:cs="Times New Roman"/>
          <w:sz w:val="24"/>
          <w:szCs w:val="24"/>
          <w:lang w:val="pl-PL"/>
        </w:rPr>
        <w:t xml:space="preserve">, skarga nr 16074/07, </w:t>
      </w:r>
      <w:r w:rsidRPr="009C0834">
        <w:rPr>
          <w:rFonts w:ascii="Times New Roman" w:hAnsi="Times New Roman" w:cs="Times New Roman"/>
          <w:sz w:val="24"/>
          <w:szCs w:val="24"/>
          <w:lang w:val="pl-PL"/>
        </w:rPr>
        <w:t xml:space="preserve">§§ 86-96, 12 czerwca 2008 r.; </w:t>
      </w:r>
      <w:r w:rsidRPr="009C0834">
        <w:rPr>
          <w:rFonts w:ascii="Times New Roman" w:hAnsi="Times New Roman" w:cs="Times New Roman"/>
          <w:i/>
          <w:iCs/>
          <w:sz w:val="24"/>
          <w:szCs w:val="24"/>
          <w:lang w:val="pl-PL"/>
        </w:rPr>
        <w:t>Khristoforov przeciwko Rosji</w:t>
      </w:r>
      <w:r w:rsidRPr="009C0834">
        <w:rPr>
          <w:rFonts w:ascii="Times New Roman" w:hAnsi="Times New Roman" w:cs="Times New Roman"/>
          <w:sz w:val="24"/>
          <w:szCs w:val="24"/>
          <w:lang w:val="pl-PL"/>
        </w:rPr>
        <w:t xml:space="preserve">, </w:t>
      </w:r>
      <w:hyperlink r:id="rId23">
        <w:r w:rsidRPr="009C0834">
          <w:rPr>
            <w:rFonts w:ascii="Times New Roman" w:hAnsi="Times New Roman" w:cs="Times New Roman"/>
            <w:sz w:val="24"/>
            <w:szCs w:val="24"/>
            <w:lang w:val="pl-PL"/>
          </w:rPr>
          <w:t>skarga nr 11336/06</w:t>
        </w:r>
      </w:hyperlink>
      <w:r w:rsidRPr="009C0834">
        <w:rPr>
          <w:rFonts w:ascii="Times New Roman" w:hAnsi="Times New Roman" w:cs="Times New Roman"/>
          <w:sz w:val="24"/>
          <w:szCs w:val="24"/>
          <w:lang w:val="pl-PL"/>
        </w:rPr>
        <w:t xml:space="preserve">, §§ 23 i nast., 29 kwietnia 2010 r.; </w:t>
      </w:r>
      <w:r w:rsidRPr="009C0834">
        <w:rPr>
          <w:rFonts w:ascii="Times New Roman" w:hAnsi="Times New Roman" w:cs="Times New Roman"/>
          <w:i/>
          <w:iCs/>
          <w:sz w:val="24"/>
          <w:szCs w:val="24"/>
          <w:lang w:val="pl-PL"/>
        </w:rPr>
        <w:t>Nedayborshch przeciwko Rosji</w:t>
      </w:r>
      <w:r w:rsidRPr="009C0834">
        <w:rPr>
          <w:rFonts w:ascii="Times New Roman" w:hAnsi="Times New Roman" w:cs="Times New Roman"/>
          <w:sz w:val="24"/>
          <w:szCs w:val="24"/>
          <w:lang w:val="pl-PL"/>
        </w:rPr>
        <w:t xml:space="preserve">, </w:t>
      </w:r>
      <w:hyperlink r:id="rId24">
        <w:r w:rsidRPr="009C0834">
          <w:rPr>
            <w:rFonts w:ascii="Times New Roman" w:hAnsi="Times New Roman" w:cs="Times New Roman"/>
            <w:sz w:val="24"/>
            <w:szCs w:val="24"/>
            <w:lang w:val="pl-PL"/>
          </w:rPr>
          <w:t>skarga nr 42255</w:t>
        </w:r>
      </w:hyperlink>
      <w:r w:rsidRPr="009C0834">
        <w:rPr>
          <w:rFonts w:ascii="Times New Roman" w:hAnsi="Times New Roman" w:cs="Times New Roman"/>
          <w:sz w:val="24"/>
          <w:szCs w:val="24"/>
          <w:lang w:val="pl-PL"/>
        </w:rPr>
        <w:t xml:space="preserve">/04, § 32, 1 lipca 2010 r.; </w:t>
      </w:r>
      <w:r w:rsidRPr="009C0834">
        <w:rPr>
          <w:rFonts w:ascii="Times New Roman" w:hAnsi="Times New Roman" w:cs="Times New Roman"/>
          <w:i/>
          <w:iCs/>
          <w:sz w:val="24"/>
          <w:szCs w:val="24"/>
          <w:lang w:val="pl-PL"/>
        </w:rPr>
        <w:t>Kuptsov i Kuptsova przeciwko Rosji</w:t>
      </w:r>
      <w:r w:rsidRPr="009C0834">
        <w:rPr>
          <w:rFonts w:ascii="Times New Roman" w:hAnsi="Times New Roman" w:cs="Times New Roman"/>
          <w:sz w:val="24"/>
          <w:szCs w:val="24"/>
          <w:lang w:val="pl-PL"/>
        </w:rPr>
        <w:t xml:space="preserve">, skarga nr 6110/03, § 69 i nast., 3 marca 2011 r.; </w:t>
      </w:r>
      <w:r w:rsidRPr="009C0834">
        <w:rPr>
          <w:rFonts w:ascii="Times New Roman" w:hAnsi="Times New Roman" w:cs="Times New Roman"/>
          <w:i/>
          <w:iCs/>
          <w:sz w:val="24"/>
          <w:szCs w:val="24"/>
          <w:lang w:val="pl-PL"/>
        </w:rPr>
        <w:t>Fedotov</w:t>
      </w:r>
      <w:r w:rsidRPr="009C0834">
        <w:rPr>
          <w:rFonts w:ascii="Times New Roman" w:hAnsi="Times New Roman" w:cs="Times New Roman"/>
          <w:sz w:val="24"/>
          <w:szCs w:val="24"/>
          <w:lang w:val="pl-PL"/>
        </w:rPr>
        <w:t xml:space="preserve">, op. cit., § 67; </w:t>
      </w:r>
      <w:r w:rsidRPr="009C0834">
        <w:rPr>
          <w:rFonts w:ascii="Times New Roman" w:hAnsi="Times New Roman" w:cs="Times New Roman"/>
          <w:i/>
          <w:iCs/>
          <w:sz w:val="24"/>
          <w:szCs w:val="24"/>
          <w:lang w:val="pl-PL"/>
        </w:rPr>
        <w:t>Ergashev przeciwko Rosji</w:t>
      </w:r>
      <w:r w:rsidRPr="009C0834">
        <w:rPr>
          <w:rFonts w:ascii="Times New Roman" w:hAnsi="Times New Roman" w:cs="Times New Roman"/>
          <w:sz w:val="24"/>
          <w:szCs w:val="24"/>
          <w:lang w:val="pl-PL"/>
        </w:rPr>
        <w:t xml:space="preserve">, skarga nr 12106/09, §§ 128-34, 20 grudnia 2011 r.; oraz </w:t>
      </w:r>
      <w:r w:rsidRPr="009C0834">
        <w:rPr>
          <w:rFonts w:ascii="Times New Roman" w:hAnsi="Times New Roman" w:cs="Times New Roman"/>
          <w:i/>
          <w:iCs/>
          <w:sz w:val="24"/>
          <w:szCs w:val="24"/>
          <w:lang w:val="pl-PL"/>
        </w:rPr>
        <w:t>Salikhov przeciwko Rosji</w:t>
      </w:r>
      <w:r w:rsidRPr="009C0834">
        <w:rPr>
          <w:rFonts w:ascii="Times New Roman" w:hAnsi="Times New Roman" w:cs="Times New Roman"/>
          <w:sz w:val="24"/>
          <w:szCs w:val="24"/>
          <w:lang w:val="pl-PL"/>
        </w:rPr>
        <w:t xml:space="preserve">, skarga nr 23880/05, §§ 89-93, 3 maja 2012 r.). Uznał, że do naruszenia art. 3 doszło w przypadku, kiedy skarżący był przetrzymywany przez dwadzieścia cztery godziny w celi bez jedzenia, picia czy nieograniczonego dostępu do toalety (zob. </w:t>
      </w:r>
      <w:r w:rsidRPr="009C0834">
        <w:rPr>
          <w:rFonts w:ascii="Times New Roman" w:hAnsi="Times New Roman" w:cs="Times New Roman"/>
          <w:i/>
          <w:iCs/>
          <w:sz w:val="24"/>
          <w:szCs w:val="24"/>
          <w:lang w:val="pl-PL"/>
        </w:rPr>
        <w:t>Fedotov</w:t>
      </w:r>
      <w:r w:rsidRPr="009C0834">
        <w:rPr>
          <w:rFonts w:ascii="Times New Roman" w:hAnsi="Times New Roman" w:cs="Times New Roman"/>
          <w:sz w:val="24"/>
          <w:szCs w:val="24"/>
          <w:lang w:val="pl-PL"/>
        </w:rPr>
        <w:t xml:space="preserve">, op. cit., § 68). W innej sprawie Trybunał zauważył, że podobna cela przeznaczona do </w:t>
      </w:r>
      <w:r w:rsidRPr="00E03A2C">
        <w:rPr>
          <w:rFonts w:ascii="Times New Roman" w:hAnsi="Times New Roman" w:cs="Times New Roman"/>
          <w:sz w:val="24"/>
          <w:szCs w:val="24"/>
          <w:lang w:val="pl-PL"/>
        </w:rPr>
        <w:t>krótkookresowego aresztowania administracyjnego nieprzekraczającego trzech godzin nie nadawała się do odbywania w niej czterodniowego aresztowania, ponieważ z założenia brakowało w niej udogodnień niezbędnych w przypadku przedłużonego aresztowania. Cela ta nie była wyposażona w toaletę czy umywalkę. Znajdowała się</w:t>
      </w:r>
      <w:r w:rsidRPr="009C0834">
        <w:rPr>
          <w:rFonts w:ascii="Times New Roman" w:hAnsi="Times New Roman" w:cs="Times New Roman"/>
          <w:sz w:val="24"/>
          <w:szCs w:val="24"/>
          <w:lang w:val="pl-PL"/>
        </w:rPr>
        <w:t xml:space="preserve"> w niej wyłącznie ława, brakowało krzesła, stołu i innych mebli, a jedzenie dla skarżącego przynieśli jego krewn</w:t>
      </w:r>
      <w:r>
        <w:rPr>
          <w:rFonts w:ascii="Times New Roman" w:hAnsi="Times New Roman" w:cs="Times New Roman"/>
          <w:sz w:val="24"/>
          <w:szCs w:val="24"/>
          <w:lang w:val="pl-PL"/>
        </w:rPr>
        <w:t>i</w:t>
      </w:r>
      <w:r w:rsidRPr="009C0834">
        <w:rPr>
          <w:rFonts w:ascii="Times New Roman" w:hAnsi="Times New Roman" w:cs="Times New Roman"/>
          <w:sz w:val="24"/>
          <w:szCs w:val="24"/>
          <w:lang w:val="pl-PL"/>
        </w:rPr>
        <w:t xml:space="preserve"> (zob. </w:t>
      </w:r>
      <w:r w:rsidRPr="009C0834">
        <w:rPr>
          <w:rFonts w:ascii="Times New Roman" w:hAnsi="Times New Roman" w:cs="Times New Roman"/>
          <w:i/>
          <w:iCs/>
          <w:sz w:val="24"/>
          <w:szCs w:val="24"/>
          <w:lang w:val="pl-PL"/>
        </w:rPr>
        <w:t>Ergashev</w:t>
      </w:r>
      <w:r w:rsidRPr="009C0834">
        <w:rPr>
          <w:rFonts w:ascii="Times New Roman" w:hAnsi="Times New Roman" w:cs="Times New Roman"/>
          <w:sz w:val="24"/>
          <w:szCs w:val="24"/>
          <w:lang w:val="pl-PL"/>
        </w:rPr>
        <w:t>, op. cit., § 131).</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112. W niniejszej sprawie Trybunał zauważa te same braki. Dodatkowo zatrzymanie skarżących w celi było poprzedzone długim przewożeniem ich w późnych godzinach nocnych pomiędzy komendami policji bez dostępu do jedzenia czy wody pitnej. Wobec ogólnego skutku wyżej omówionych czynników, Trybunał uważa, że warunki, w jakich skarżący byli przetrzymywani na komendzie policji naruszyły ich godność i spowodowały cierpienie i trudności o natężeniu przekraczającym konieczny poziom cierpienia nieodzownie związanego z zatrzymaniem. Stwierdza dalej, że warunki </w:t>
      </w:r>
      <w:r>
        <w:rPr>
          <w:rFonts w:ascii="Times New Roman" w:hAnsi="Times New Roman" w:cs="Times New Roman"/>
          <w:sz w:val="24"/>
          <w:szCs w:val="24"/>
          <w:lang w:val="pl-PL"/>
        </w:rPr>
        <w:t xml:space="preserve">pozbawienia wolności </w:t>
      </w:r>
      <w:r w:rsidRPr="009C0834">
        <w:rPr>
          <w:rFonts w:ascii="Times New Roman" w:hAnsi="Times New Roman" w:cs="Times New Roman"/>
          <w:sz w:val="24"/>
          <w:szCs w:val="24"/>
          <w:lang w:val="pl-PL"/>
        </w:rPr>
        <w:t>skarżących stanowiły nieludzkie i poniżające traktowanie naruszające art. 3 Konwencji.</w:t>
      </w:r>
    </w:p>
    <w:p w:rsidR="00A52C5C" w:rsidRPr="00B025B2" w:rsidRDefault="00A52C5C" w:rsidP="00A500BE">
      <w:pPr>
        <w:spacing w:after="0" w:line="240" w:lineRule="auto"/>
        <w:ind w:right="567"/>
        <w:jc w:val="both"/>
        <w:rPr>
          <w:sz w:val="15"/>
          <w:szCs w:val="15"/>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V. ZARZUT NARUSZENIA ART. 18 KONWENCJI</w:t>
      </w:r>
    </w:p>
    <w:p w:rsidR="00A52C5C" w:rsidRPr="00B025B2" w:rsidRDefault="00A52C5C" w:rsidP="00A500BE">
      <w:pPr>
        <w:spacing w:after="0" w:line="240" w:lineRule="auto"/>
        <w:ind w:right="567"/>
        <w:jc w:val="both"/>
        <w:rPr>
          <w:sz w:val="24"/>
          <w:szCs w:val="24"/>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113. Wreszcie skarżący podnieśli, że ich zatrzymanie i </w:t>
      </w:r>
      <w:r w:rsidRPr="003D1659">
        <w:rPr>
          <w:rFonts w:ascii="Times New Roman" w:hAnsi="Times New Roman" w:cs="Times New Roman"/>
          <w:sz w:val="24"/>
          <w:szCs w:val="24"/>
          <w:lang w:val="pl-PL"/>
        </w:rPr>
        <w:t>aresztowanie na podstawie zarzutów administracyjnych miały na celu podważenie ich prawa</w:t>
      </w:r>
      <w:r w:rsidRPr="009C0834">
        <w:rPr>
          <w:rFonts w:ascii="Times New Roman" w:hAnsi="Times New Roman" w:cs="Times New Roman"/>
          <w:sz w:val="24"/>
          <w:szCs w:val="24"/>
          <w:lang w:val="pl-PL"/>
        </w:rPr>
        <w:t xml:space="preserve"> do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i wolności wyrażania opinii</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i zostały zastosowane z zemsty politycznej. Twierdzili, że doszło do naruszenia art. 18 Konwencji, który stanowi, co następuje:</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„Ograniczenia praw i wolności, na które zezwala niniejsza Konwencja, nie będą stosowane w innych celach, niż te, dla których je wprowadzono.”</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114. W swoim stanowisku dotyczącym tej kwestii strony powtórzyły swoje argumenty odnośnie do rzekomej ingerencji w prawo do swobodnego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powodów pozbawienia skarżących wolności oraz gwarancji sprawiedliwego rozpatrzenia sprawy w postępowaniu administracyjnym.</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115. Trybunał pragnie zaznaczyć, że skarga ta powiązana jest z rozpatrzonymi powyżej skargami wniesionymi w oparciu o art. 5, 6 i 11 Konwencji, co oznacza, że także i ją należy uznać za dopuszczalną.</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116. Trybunał orzekł </w:t>
      </w:r>
      <w:r>
        <w:rPr>
          <w:rFonts w:ascii="Times New Roman" w:hAnsi="Times New Roman" w:cs="Times New Roman"/>
          <w:sz w:val="24"/>
          <w:szCs w:val="24"/>
          <w:lang w:val="pl-PL"/>
        </w:rPr>
        <w:t>powyżej</w:t>
      </w:r>
      <w:r w:rsidRPr="009C0834">
        <w:rPr>
          <w:rFonts w:ascii="Times New Roman" w:hAnsi="Times New Roman" w:cs="Times New Roman"/>
          <w:sz w:val="24"/>
          <w:szCs w:val="24"/>
          <w:lang w:val="pl-PL"/>
        </w:rPr>
        <w:t xml:space="preserve">, że skarżący </w:t>
      </w:r>
      <w:r w:rsidRPr="003D1659">
        <w:rPr>
          <w:rFonts w:ascii="Times New Roman" w:hAnsi="Times New Roman" w:cs="Times New Roman"/>
          <w:sz w:val="24"/>
          <w:szCs w:val="24"/>
          <w:lang w:val="pl-PL"/>
        </w:rPr>
        <w:t>zostali zatrzymani, aresztowani i skazani za wykroczenie administracyjne w sposób arbitralny, i że skutkowało to powstrzymaniem ich oraz innych osób od udziału w wiecach</w:t>
      </w:r>
      <w:r w:rsidRPr="009C0834">
        <w:rPr>
          <w:rFonts w:ascii="Times New Roman" w:hAnsi="Times New Roman" w:cs="Times New Roman"/>
          <w:sz w:val="24"/>
          <w:szCs w:val="24"/>
          <w:lang w:val="pl-PL"/>
        </w:rPr>
        <w:t xml:space="preserve"> protestacyjnych i aktywnego angażowania się w politykę opozycyjną (zob. paragraf 73-74 powyżej) oraz zniechęceniem ich do takiej działalności.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117. Biorąc pod uwagę powyższe ustalenia Trybunał uważa, że nie musi rozpatrywać, czy </w:t>
      </w:r>
      <w:r>
        <w:rPr>
          <w:rFonts w:ascii="Times New Roman" w:hAnsi="Times New Roman" w:cs="Times New Roman"/>
          <w:sz w:val="24"/>
          <w:szCs w:val="24"/>
          <w:lang w:val="pl-PL"/>
        </w:rPr>
        <w:t>w obecnej sprawie</w:t>
      </w:r>
      <w:r w:rsidRPr="009C0834">
        <w:rPr>
          <w:rFonts w:ascii="Times New Roman" w:hAnsi="Times New Roman" w:cs="Times New Roman"/>
          <w:sz w:val="24"/>
          <w:szCs w:val="24"/>
          <w:lang w:val="pl-PL"/>
        </w:rPr>
        <w:t xml:space="preserve"> doszło do naruszenia art. 18 Konwencji.</w:t>
      </w:r>
    </w:p>
    <w:p w:rsidR="00A52C5C" w:rsidRPr="00B025B2" w:rsidRDefault="00A52C5C" w:rsidP="00A500BE">
      <w:pPr>
        <w:spacing w:after="0" w:line="240" w:lineRule="auto"/>
        <w:ind w:right="567"/>
        <w:jc w:val="both"/>
        <w:rPr>
          <w:sz w:val="15"/>
          <w:szCs w:val="15"/>
          <w:lang w:val="pl-PL"/>
        </w:rPr>
      </w:pPr>
    </w:p>
    <w:p w:rsidR="00A52C5C" w:rsidRDefault="00A52C5C" w:rsidP="00A500BE">
      <w:pPr>
        <w:spacing w:after="0" w:line="240" w:lineRule="auto"/>
        <w:ind w:right="567"/>
        <w:jc w:val="both"/>
        <w:rPr>
          <w:sz w:val="20"/>
          <w:szCs w:val="20"/>
          <w:lang w:val="pl-PL"/>
        </w:rPr>
      </w:pPr>
    </w:p>
    <w:p w:rsidR="00A52C5C"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VI. ZASTOSOWANIE ART. 41 KONWENCJI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881"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118. Artykuł 41 Konwencji stanowi, co następuje:</w:t>
      </w:r>
    </w:p>
    <w:p w:rsidR="00A52C5C" w:rsidRPr="00B025B2" w:rsidRDefault="00A52C5C" w:rsidP="00A500BE">
      <w:pPr>
        <w:spacing w:after="0" w:line="240" w:lineRule="auto"/>
        <w:ind w:right="567"/>
        <w:jc w:val="both"/>
        <w:rPr>
          <w:sz w:val="12"/>
          <w:szCs w:val="12"/>
          <w:lang w:val="pl-PL"/>
        </w:rPr>
      </w:pPr>
    </w:p>
    <w:p w:rsidR="00A52C5C" w:rsidRPr="00B025B2" w:rsidRDefault="00A52C5C" w:rsidP="00A500BE">
      <w:pPr>
        <w:spacing w:after="0" w:line="240" w:lineRule="auto"/>
        <w:ind w:left="1021" w:right="567" w:firstLine="142"/>
        <w:jc w:val="both"/>
        <w:rPr>
          <w:rFonts w:ascii="Times New Roman" w:hAnsi="Times New Roman" w:cs="Times New Roman"/>
          <w:sz w:val="20"/>
          <w:szCs w:val="20"/>
          <w:lang w:val="pl-PL"/>
        </w:rPr>
      </w:pPr>
      <w:r w:rsidRPr="009C0834">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A. Szkody</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119. Skarżący wnioskowali o zadośćuczynienie w wysokości 50 000 euro (EUR) za doznane szkody niematerialne.</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120. Rząd zakwestionował ich roszczenia jako nieuzasadnione i przesadne. Uznał, że były one niezgodne z decyzjami Trybunału w podobnych sprawach i stwierdził, że samo uznanie naruszenia będzie stanowić wystarczając</w:t>
      </w:r>
      <w:r>
        <w:rPr>
          <w:rFonts w:ascii="Times New Roman" w:hAnsi="Times New Roman" w:cs="Times New Roman"/>
          <w:sz w:val="24"/>
          <w:szCs w:val="24"/>
          <w:lang w:val="pl-PL"/>
        </w:rPr>
        <w:t>e słuszne</w:t>
      </w:r>
      <w:r w:rsidRPr="009C0834">
        <w:rPr>
          <w:rFonts w:ascii="Times New Roman" w:hAnsi="Times New Roman" w:cs="Times New Roman"/>
          <w:sz w:val="24"/>
          <w:szCs w:val="24"/>
          <w:lang w:val="pl-PL"/>
        </w:rPr>
        <w:t xml:space="preserve"> zadośćuczynienie</w:t>
      </w:r>
    </w:p>
    <w:p w:rsidR="00A52C5C" w:rsidRPr="00B025B2" w:rsidRDefault="00A52C5C" w:rsidP="00C7229A">
      <w:pPr>
        <w:pStyle w:val="Styl1"/>
        <w:rPr>
          <w:lang/>
        </w:rPr>
      </w:pPr>
      <w:r w:rsidRPr="009C0834">
        <w:rPr>
          <w:lang/>
        </w:rPr>
        <w:t>121. Trybunał zauważa, że uznał naruszenie postanowień art. 11, 6, 5, 3 i 13 w stosunku do obydwu skarżących. W tych okolicznościach Trybunał uważa, że cierpienia i frustracji nie zrekompensuje samo uznanie naruszenia. Dokonując oceny w oparciu o zasadę słuszności, Trybunał przyznaje każdemu skarżącemu 26 000 EUR jako zadośćuczynienie za szkody niematerialne.</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B. Koszty i wydatki</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122. Pierwszy skarżący zażądał również kwoty 100 000 rubli rosyjskich (RUB) tytułem kosztów poniesionych w ramach postępowania przed Trybunałem. Przedłożył umowę o świadczenie usług prawnych zawartą pomiędzy nim a p. O. Mikhaylovą oraz kopie dowodów płatności.</w:t>
      </w: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123. Rząd zauważył, że zwrot kosztów i wydatków może być przyznany tylko wtedy, gdy uznane zostanie naruszenie. Nie zakwestionował dochodzonej kwoty.</w:t>
      </w:r>
    </w:p>
    <w:p w:rsidR="00A52C5C" w:rsidRPr="00B025B2" w:rsidRDefault="00A52C5C" w:rsidP="003D1659">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124. Zgodnie z orzecznictwem Trybunału kwota na pokrycie kosztów może zostać przyznana jedynie wtedy, jeżeli zostały one faktycznie poniesione przez skarżącego i były nieuniknione, a ich suma jest rozsądna.</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W niniejszej sprawie, mając na uwadze posiadane dokumenty oraz powyższe kryteria, Trybunał za rozsądne uważa przyznanie kwoty 2 500 EUR tytułem kosztów poniesionych w ramach postępowania przed Trybunałem.</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828"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C. Odsetki za zwłokę</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125. Trybunał za słuszne uznaje wyznaczenie wysokości odsetek za zwłokę na podstawie marginalnej stopy procentowej Europejskiego Banku Centralnego powiększonej o trzy punkty procentowe.</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A500BE">
      <w:pPr>
        <w:spacing w:after="0" w:line="240" w:lineRule="auto"/>
        <w:ind w:left="595" w:right="567"/>
        <w:jc w:val="both"/>
        <w:rPr>
          <w:rFonts w:ascii="Times New Roman" w:hAnsi="Times New Roman" w:cs="Times New Roman"/>
          <w:sz w:val="28"/>
          <w:szCs w:val="28"/>
          <w:lang w:val="pl-PL"/>
        </w:rPr>
      </w:pPr>
      <w:r w:rsidRPr="009C0834">
        <w:rPr>
          <w:rFonts w:ascii="Times New Roman" w:hAnsi="Times New Roman" w:cs="Times New Roman"/>
          <w:sz w:val="28"/>
          <w:szCs w:val="28"/>
          <w:lang w:val="pl-PL"/>
        </w:rPr>
        <w:t>W ZWIĄZKU Z POWYŻSZYM TRYBUNAŁ JEDNOMYŚLNIE</w:t>
      </w:r>
    </w:p>
    <w:p w:rsidR="00A52C5C" w:rsidRPr="00B025B2" w:rsidRDefault="00A52C5C" w:rsidP="00A500BE">
      <w:pPr>
        <w:spacing w:after="0" w:line="240" w:lineRule="auto"/>
        <w:ind w:right="567"/>
        <w:jc w:val="both"/>
        <w:rPr>
          <w:sz w:val="24"/>
          <w:szCs w:val="24"/>
          <w:lang w:val="pl-PL"/>
        </w:rPr>
      </w:pPr>
    </w:p>
    <w:p w:rsidR="00A52C5C" w:rsidRPr="00B025B2" w:rsidRDefault="00A52C5C" w:rsidP="003D1659">
      <w:pPr>
        <w:spacing w:after="0" w:line="240" w:lineRule="auto"/>
        <w:ind w:left="851" w:right="567" w:hanging="256"/>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 </w:t>
      </w:r>
      <w:r w:rsidRPr="009C0834">
        <w:rPr>
          <w:rFonts w:ascii="Times New Roman" w:hAnsi="Times New Roman" w:cs="Times New Roman"/>
          <w:i/>
          <w:iCs/>
          <w:sz w:val="24"/>
          <w:szCs w:val="24"/>
          <w:lang w:val="pl-PL"/>
        </w:rPr>
        <w:t xml:space="preserve">Dołącza </w:t>
      </w:r>
      <w:r w:rsidRPr="009C0834">
        <w:rPr>
          <w:rFonts w:ascii="Times New Roman" w:hAnsi="Times New Roman" w:cs="Times New Roman"/>
          <w:sz w:val="24"/>
          <w:szCs w:val="24"/>
          <w:lang w:val="pl-PL"/>
        </w:rPr>
        <w:t xml:space="preserve">do </w:t>
      </w:r>
      <w:r>
        <w:rPr>
          <w:rFonts w:ascii="Times New Roman" w:hAnsi="Times New Roman" w:cs="Times New Roman"/>
          <w:sz w:val="24"/>
          <w:szCs w:val="24"/>
          <w:lang w:val="pl-PL"/>
        </w:rPr>
        <w:t>przedmiotu</w:t>
      </w:r>
      <w:r w:rsidRPr="009C0834">
        <w:rPr>
          <w:rFonts w:ascii="Times New Roman" w:hAnsi="Times New Roman" w:cs="Times New Roman"/>
          <w:sz w:val="24"/>
          <w:szCs w:val="24"/>
          <w:lang w:val="pl-PL"/>
        </w:rPr>
        <w:t xml:space="preserve"> sprawy zarzut Rządu dotyczący rzekomego niewyczerpania krajowych środków odwoławczych związanych ze skargą na podstawie art. 3 Konwencji i </w:t>
      </w:r>
      <w:r w:rsidRPr="009C0834">
        <w:rPr>
          <w:rFonts w:ascii="Times New Roman" w:hAnsi="Times New Roman" w:cs="Times New Roman"/>
          <w:i/>
          <w:iCs/>
          <w:sz w:val="24"/>
          <w:szCs w:val="24"/>
          <w:lang w:val="pl-PL"/>
        </w:rPr>
        <w:t xml:space="preserve">odrzuca </w:t>
      </w:r>
      <w:r w:rsidRPr="009C0834">
        <w:rPr>
          <w:rFonts w:ascii="Times New Roman" w:hAnsi="Times New Roman" w:cs="Times New Roman"/>
          <w:sz w:val="24"/>
          <w:szCs w:val="24"/>
          <w:lang w:val="pl-PL"/>
        </w:rPr>
        <w:t>go;</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2. </w:t>
      </w:r>
      <w:r w:rsidRPr="009C0834">
        <w:rPr>
          <w:rFonts w:ascii="Times New Roman" w:hAnsi="Times New Roman" w:cs="Times New Roman"/>
          <w:i/>
          <w:iCs/>
          <w:sz w:val="24"/>
          <w:szCs w:val="24"/>
          <w:lang w:val="pl-PL"/>
        </w:rPr>
        <w:t>Uznaje</w:t>
      </w:r>
      <w:r w:rsidRPr="009C0834">
        <w:rPr>
          <w:rFonts w:ascii="Times New Roman" w:hAnsi="Times New Roman" w:cs="Times New Roman"/>
          <w:sz w:val="24"/>
          <w:szCs w:val="24"/>
          <w:lang w:val="pl-PL"/>
        </w:rPr>
        <w:t xml:space="preserve"> skargę za dopuszczalną;</w:t>
      </w:r>
    </w:p>
    <w:p w:rsidR="00A52C5C" w:rsidRPr="00B025B2" w:rsidRDefault="00A52C5C" w:rsidP="00A500BE">
      <w:pPr>
        <w:spacing w:after="0" w:line="240" w:lineRule="auto"/>
        <w:ind w:right="567"/>
        <w:jc w:val="both"/>
        <w:rPr>
          <w:sz w:val="26"/>
          <w:szCs w:val="26"/>
          <w:lang w:val="pl-PL"/>
        </w:rPr>
      </w:pPr>
    </w:p>
    <w:p w:rsidR="00A52C5C"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3.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xml:space="preserve"> że doszło do naruszenia art. 1</w:t>
      </w:r>
      <w:r>
        <w:rPr>
          <w:rFonts w:ascii="Times New Roman" w:hAnsi="Times New Roman" w:cs="Times New Roman"/>
          <w:sz w:val="24"/>
          <w:szCs w:val="24"/>
          <w:lang w:val="pl-PL"/>
        </w:rPr>
        <w:t>1</w:t>
      </w:r>
      <w:r w:rsidRPr="009C0834">
        <w:rPr>
          <w:rFonts w:ascii="Times New Roman" w:hAnsi="Times New Roman" w:cs="Times New Roman"/>
          <w:sz w:val="24"/>
          <w:szCs w:val="24"/>
          <w:lang w:val="pl-PL"/>
        </w:rPr>
        <w:t xml:space="preserve"> Konwencji</w:t>
      </w:r>
      <w:r>
        <w:rPr>
          <w:rFonts w:ascii="Times New Roman" w:hAnsi="Times New Roman" w:cs="Times New Roman"/>
          <w:sz w:val="24"/>
          <w:szCs w:val="24"/>
          <w:lang w:val="pl-PL"/>
        </w:rPr>
        <w:t>;</w:t>
      </w: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4.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że doszło do naruszenia art. 6 § 1 Konwencji;</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935" w:right="567" w:hanging="340"/>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5.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xml:space="preserve"> że nie ma potrzeby rozpatrywania pozostałych zarzutów dotyczących naruszenia </w:t>
      </w:r>
      <w:r>
        <w:rPr>
          <w:rFonts w:ascii="Times New Roman" w:hAnsi="Times New Roman" w:cs="Times New Roman"/>
          <w:sz w:val="24"/>
          <w:szCs w:val="24"/>
          <w:lang w:val="pl-PL"/>
        </w:rPr>
        <w:t>art.</w:t>
      </w:r>
      <w:r w:rsidRPr="009C0834">
        <w:rPr>
          <w:rFonts w:ascii="Times New Roman" w:hAnsi="Times New Roman" w:cs="Times New Roman"/>
          <w:sz w:val="24"/>
          <w:szCs w:val="24"/>
          <w:lang w:val="pl-PL"/>
        </w:rPr>
        <w:t xml:space="preserve"> 6 Konwencji;</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że doszło do naruszenia art. 5 § 1 Konwencji;</w:t>
      </w:r>
    </w:p>
    <w:p w:rsidR="00A52C5C" w:rsidRPr="00B025B2" w:rsidRDefault="00A52C5C" w:rsidP="00A500BE">
      <w:pPr>
        <w:spacing w:after="0" w:line="240" w:lineRule="auto"/>
        <w:ind w:right="567"/>
        <w:jc w:val="both"/>
        <w:rPr>
          <w:sz w:val="26"/>
          <w:szCs w:val="26"/>
          <w:lang w:val="pl-PL"/>
        </w:rPr>
      </w:pPr>
    </w:p>
    <w:p w:rsidR="00A52C5C" w:rsidRPr="00B025B2" w:rsidRDefault="00A52C5C" w:rsidP="00C7229A">
      <w:pPr>
        <w:spacing w:after="0" w:line="240" w:lineRule="auto"/>
        <w:ind w:left="851" w:right="567" w:hanging="256"/>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7.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że doszło do naruszenia art. 13 w związku z art. 3 Konwencji;</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935" w:right="567" w:hanging="340"/>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8.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xml:space="preserve">, że doszło do naruszenia art. 3 Konwencji z powodu warunków </w:t>
      </w:r>
      <w:r>
        <w:rPr>
          <w:rFonts w:ascii="Times New Roman" w:hAnsi="Times New Roman" w:cs="Times New Roman"/>
          <w:sz w:val="24"/>
          <w:szCs w:val="24"/>
          <w:lang w:val="pl-PL"/>
        </w:rPr>
        <w:t>pozbawienia wolności</w:t>
      </w:r>
      <w:r w:rsidRPr="009C0834">
        <w:rPr>
          <w:rFonts w:ascii="Times New Roman" w:hAnsi="Times New Roman" w:cs="Times New Roman"/>
          <w:sz w:val="24"/>
          <w:szCs w:val="24"/>
          <w:lang w:val="pl-PL"/>
        </w:rPr>
        <w:t>;</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935" w:right="567" w:hanging="340"/>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9. </w:t>
      </w:r>
      <w:r w:rsidRPr="009C0834">
        <w:rPr>
          <w:rFonts w:ascii="Times New Roman" w:hAnsi="Times New Roman" w:cs="Times New Roman"/>
          <w:i/>
          <w:iCs/>
          <w:sz w:val="24"/>
          <w:szCs w:val="24"/>
          <w:lang w:val="pl-PL"/>
        </w:rPr>
        <w:t>Orzeka</w:t>
      </w:r>
      <w:r w:rsidRPr="009C0834">
        <w:rPr>
          <w:rFonts w:ascii="Times New Roman" w:hAnsi="Times New Roman" w:cs="Times New Roman"/>
          <w:sz w:val="24"/>
          <w:szCs w:val="24"/>
          <w:lang w:val="pl-PL"/>
        </w:rPr>
        <w:t>, że nie ma potrzeby rozpatrywania zarzut</w:t>
      </w:r>
      <w:r>
        <w:rPr>
          <w:rFonts w:ascii="Times New Roman" w:hAnsi="Times New Roman" w:cs="Times New Roman"/>
          <w:sz w:val="24"/>
          <w:szCs w:val="24"/>
          <w:lang w:val="pl-PL"/>
        </w:rPr>
        <w:t>u opartego na art. 18 Konwencji;</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10. </w:t>
      </w:r>
      <w:r w:rsidRPr="009C0834">
        <w:rPr>
          <w:rFonts w:ascii="Times New Roman" w:hAnsi="Times New Roman" w:cs="Times New Roman"/>
          <w:i/>
          <w:iCs/>
          <w:sz w:val="24"/>
          <w:szCs w:val="24"/>
          <w:lang w:val="pl-PL"/>
        </w:rPr>
        <w:t>Orzeka, że</w:t>
      </w:r>
    </w:p>
    <w:p w:rsidR="00A52C5C" w:rsidRPr="00B025B2" w:rsidRDefault="00A52C5C" w:rsidP="00A500BE">
      <w:pPr>
        <w:spacing w:after="0" w:line="240" w:lineRule="auto"/>
        <w:ind w:left="940"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(a) pozwane Państwo ma wypłacić, w ciągu trzech miesięcy od daty, w której wyrok stanie się ostateczny, zgodnie z art. 44 § 2 Konwencji, następujące kwoty, które będą przeliczone na walutę pozwanego Państwa według kursu obowiązującego w dacie uregulowania należności:</w:t>
      </w:r>
    </w:p>
    <w:p w:rsidR="00A52C5C" w:rsidRPr="00B025B2" w:rsidRDefault="00A52C5C" w:rsidP="00A500BE">
      <w:pPr>
        <w:spacing w:after="0" w:line="240" w:lineRule="auto"/>
        <w:ind w:left="1390"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 każdemu skarżącemu kwotę 26 000 EUR (dwudziestu sześciu tysięcy euro) wraz z wszelkimi podatkami, które mogą zostać naliczone, tytułem zadośćuczynienia za doznane krzywdy;</w:t>
      </w:r>
    </w:p>
    <w:p w:rsidR="00A52C5C" w:rsidRPr="00B025B2" w:rsidRDefault="00A52C5C" w:rsidP="00C7229A">
      <w:pPr>
        <w:spacing w:after="0" w:line="240" w:lineRule="auto"/>
        <w:ind w:left="1349"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(ii) pierwszemu skarżącemu 2 500 EUR (dwa tysiące pięćset euro) oraz wszelkie podatki, które mogą zostać naliczone, tytułem poniesionych kosztów i wydatków;</w:t>
      </w:r>
    </w:p>
    <w:p w:rsidR="00A52C5C" w:rsidRPr="00B025B2" w:rsidRDefault="00A52C5C" w:rsidP="00C7229A">
      <w:pPr>
        <w:spacing w:after="0" w:line="240" w:lineRule="auto"/>
        <w:ind w:left="899"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(b)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A52C5C" w:rsidRPr="00B025B2" w:rsidRDefault="00A52C5C" w:rsidP="00A500BE">
      <w:pPr>
        <w:spacing w:after="0" w:line="240" w:lineRule="auto"/>
        <w:ind w:right="567"/>
        <w:jc w:val="both"/>
        <w:rPr>
          <w:sz w:val="26"/>
          <w:szCs w:val="26"/>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11. </w:t>
      </w:r>
      <w:r w:rsidRPr="009C0834">
        <w:rPr>
          <w:rFonts w:ascii="Times New Roman" w:hAnsi="Times New Roman" w:cs="Times New Roman"/>
          <w:i/>
          <w:iCs/>
          <w:sz w:val="24"/>
          <w:szCs w:val="24"/>
          <w:lang w:val="pl-PL"/>
        </w:rPr>
        <w:t>Oddala</w:t>
      </w:r>
      <w:r w:rsidRPr="009C0834">
        <w:rPr>
          <w:rFonts w:ascii="Times New Roman" w:hAnsi="Times New Roman" w:cs="Times New Roman"/>
          <w:sz w:val="24"/>
          <w:szCs w:val="24"/>
          <w:lang w:val="pl-PL"/>
        </w:rPr>
        <w:t xml:space="preserve"> pozostałą część roszczenia skarżących w zakresie słusznego zadośćuczynienia.</w:t>
      </w:r>
    </w:p>
    <w:p w:rsidR="00A52C5C" w:rsidRPr="00B025B2" w:rsidRDefault="00A52C5C" w:rsidP="00A500BE">
      <w:pPr>
        <w:spacing w:after="0" w:line="240" w:lineRule="auto"/>
        <w:ind w:right="567"/>
        <w:jc w:val="both"/>
        <w:rPr>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Sporządzono w języku angielskim i obwieszczono pisemnie dnia 4 grudnia 2014 roku, zgodnie z art. 77 §§ 2 i 3 Regulaminu Trybunału.</w:t>
      </w:r>
    </w:p>
    <w:p w:rsidR="00A52C5C" w:rsidRPr="00B025B2" w:rsidRDefault="00A52C5C" w:rsidP="00A500BE">
      <w:pPr>
        <w:spacing w:after="0" w:line="240" w:lineRule="auto"/>
        <w:ind w:right="567"/>
        <w:jc w:val="both"/>
        <w:rPr>
          <w:sz w:val="11"/>
          <w:szCs w:val="11"/>
          <w:lang w:val="pl-PL"/>
        </w:rPr>
      </w:pPr>
    </w:p>
    <w:p w:rsidR="00A52C5C" w:rsidRPr="00B025B2" w:rsidRDefault="00A52C5C" w:rsidP="00A500BE">
      <w:pPr>
        <w:spacing w:after="0" w:line="240" w:lineRule="auto"/>
        <w:ind w:right="567"/>
        <w:jc w:val="both"/>
        <w:rPr>
          <w:sz w:val="20"/>
          <w:szCs w:val="20"/>
          <w:lang w:val="pl-PL"/>
        </w:rPr>
      </w:pPr>
    </w:p>
    <w:p w:rsidR="00A52C5C" w:rsidRPr="00B025B2" w:rsidRDefault="00A52C5C" w:rsidP="00C7229A">
      <w:pPr>
        <w:tabs>
          <w:tab w:val="center" w:pos="6379"/>
        </w:tabs>
        <w:spacing w:after="0" w:line="240" w:lineRule="auto"/>
        <w:ind w:left="709"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Søren Nielsen</w:t>
      </w:r>
      <w:r w:rsidRPr="009C0834">
        <w:rPr>
          <w:rFonts w:ascii="Times New Roman" w:hAnsi="Times New Roman" w:cs="Times New Roman"/>
          <w:sz w:val="24"/>
          <w:szCs w:val="24"/>
          <w:lang w:val="pl-PL"/>
        </w:rPr>
        <w:tab/>
        <w:t>Isabelle Berro-Lefèvre</w:t>
      </w:r>
    </w:p>
    <w:p w:rsidR="00A52C5C" w:rsidRPr="00B025B2" w:rsidRDefault="00A52C5C" w:rsidP="00C7229A">
      <w:pPr>
        <w:tabs>
          <w:tab w:val="center" w:pos="6379"/>
        </w:tabs>
        <w:spacing w:after="0" w:line="240" w:lineRule="auto"/>
        <w:ind w:left="1005" w:right="567"/>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Kanclerz</w:t>
      </w:r>
      <w:r w:rsidRPr="009C0834">
        <w:rPr>
          <w:rFonts w:ascii="Times New Roman" w:hAnsi="Times New Roman" w:cs="Times New Roman"/>
          <w:sz w:val="24"/>
          <w:szCs w:val="24"/>
          <w:lang w:val="pl-PL"/>
        </w:rPr>
        <w:tab/>
        <w:t>Przewodnicząca</w:t>
      </w:r>
    </w:p>
    <w:p w:rsidR="00A52C5C" w:rsidRPr="00B025B2" w:rsidRDefault="00A52C5C" w:rsidP="00C7229A">
      <w:pPr>
        <w:tabs>
          <w:tab w:val="center" w:pos="6379"/>
        </w:tabs>
        <w:spacing w:after="0" w:line="240" w:lineRule="auto"/>
        <w:ind w:right="567"/>
        <w:jc w:val="both"/>
        <w:rPr>
          <w:sz w:val="11"/>
          <w:szCs w:val="11"/>
          <w:lang w:val="pl-PL"/>
        </w:rPr>
      </w:pPr>
    </w:p>
    <w:p w:rsidR="00A52C5C" w:rsidRPr="00B025B2" w:rsidRDefault="00A52C5C" w:rsidP="00A500B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Zgodnie z art. 45 § 2 Konwencji oraz art. 74 § 2 Regulaminu Trybunału, do niniejszego wyroku załączona zostaje odrębna opinia Sędziego Paulo Pinto de Albuquerque.</w:t>
      </w:r>
    </w:p>
    <w:p w:rsidR="00A52C5C" w:rsidRPr="004D3204" w:rsidRDefault="00A52C5C" w:rsidP="00C7229A">
      <w:pPr>
        <w:spacing w:after="0" w:line="240" w:lineRule="auto"/>
        <w:ind w:right="567"/>
        <w:jc w:val="right"/>
        <w:rPr>
          <w:rFonts w:ascii="Times New Roman" w:hAnsi="Times New Roman" w:cs="Times New Roman"/>
          <w:lang w:val="pl-PL"/>
        </w:rPr>
      </w:pPr>
      <w:r w:rsidRPr="004D3204">
        <w:rPr>
          <w:rFonts w:ascii="Times New Roman" w:hAnsi="Times New Roman" w:cs="Times New Roman"/>
          <w:lang w:val="pl-PL"/>
        </w:rPr>
        <w:t>I.B.-L.</w:t>
      </w:r>
    </w:p>
    <w:p w:rsidR="00A52C5C" w:rsidRPr="004D3204" w:rsidRDefault="00A52C5C" w:rsidP="00C7229A">
      <w:pPr>
        <w:spacing w:after="0" w:line="240" w:lineRule="auto"/>
        <w:ind w:right="567"/>
        <w:jc w:val="right"/>
        <w:rPr>
          <w:rFonts w:ascii="Times New Roman" w:hAnsi="Times New Roman" w:cs="Times New Roman"/>
          <w:lang w:val="pl-PL"/>
        </w:rPr>
      </w:pPr>
      <w:r w:rsidRPr="004D3204">
        <w:rPr>
          <w:rFonts w:ascii="Times New Roman" w:hAnsi="Times New Roman" w:cs="Times New Roman"/>
          <w:lang w:val="pl-PL"/>
        </w:rPr>
        <w:t>S.N.</w:t>
      </w:r>
    </w:p>
    <w:p w:rsidR="00A52C5C" w:rsidRPr="004D3204" w:rsidRDefault="00A52C5C" w:rsidP="00C7229A">
      <w:pPr>
        <w:spacing w:after="0" w:line="240" w:lineRule="auto"/>
        <w:ind w:right="567"/>
        <w:jc w:val="right"/>
        <w:rPr>
          <w:sz w:val="20"/>
          <w:szCs w:val="20"/>
          <w:lang w:val="pl-PL"/>
        </w:rPr>
        <w:sectPr w:rsidR="00A52C5C" w:rsidRPr="004D3204" w:rsidSect="0023783A">
          <w:headerReference w:type="even" r:id="rId25"/>
          <w:headerReference w:type="default" r:id="rId26"/>
          <w:pgSz w:w="11907" w:h="16840" w:code="21"/>
          <w:pgMar w:top="1418" w:right="1418" w:bottom="1418" w:left="1418" w:header="1588" w:footer="0" w:gutter="0"/>
          <w:cols w:space="708"/>
        </w:sectPr>
      </w:pPr>
    </w:p>
    <w:p w:rsidR="00A52C5C" w:rsidRPr="00B025B2" w:rsidRDefault="00A52C5C" w:rsidP="00C7229A">
      <w:pPr>
        <w:spacing w:after="0" w:line="240" w:lineRule="auto"/>
        <w:ind w:left="567" w:right="567"/>
        <w:jc w:val="center"/>
        <w:rPr>
          <w:rFonts w:ascii="Times New Roman" w:hAnsi="Times New Roman" w:cs="Times New Roman"/>
          <w:sz w:val="28"/>
          <w:szCs w:val="28"/>
          <w:lang w:val="pl-PL"/>
        </w:rPr>
      </w:pPr>
      <w:r w:rsidRPr="009C0834">
        <w:rPr>
          <w:rFonts w:ascii="Times New Roman" w:hAnsi="Times New Roman" w:cs="Times New Roman"/>
          <w:sz w:val="28"/>
          <w:szCs w:val="28"/>
          <w:lang w:val="pl-PL"/>
        </w:rPr>
        <w:t>ZGODNA OPINIA</w:t>
      </w:r>
      <w:r>
        <w:rPr>
          <w:rFonts w:ascii="Times New Roman" w:hAnsi="Times New Roman" w:cs="Times New Roman"/>
          <w:sz w:val="28"/>
          <w:szCs w:val="28"/>
          <w:lang w:val="pl-PL"/>
        </w:rPr>
        <w:t xml:space="preserve"> ODRĘBNA</w:t>
      </w:r>
      <w:r w:rsidRPr="009C0834">
        <w:rPr>
          <w:rFonts w:ascii="Times New Roman" w:hAnsi="Times New Roman" w:cs="Times New Roman"/>
          <w:sz w:val="28"/>
          <w:szCs w:val="28"/>
          <w:lang w:val="pl-PL"/>
        </w:rPr>
        <w:t>:</w:t>
      </w:r>
      <w:r>
        <w:rPr>
          <w:rFonts w:ascii="Times New Roman" w:hAnsi="Times New Roman" w:cs="Times New Roman"/>
          <w:sz w:val="28"/>
          <w:szCs w:val="28"/>
          <w:lang w:val="pl-PL"/>
        </w:rPr>
        <w:br/>
      </w:r>
      <w:r w:rsidRPr="009C0834">
        <w:rPr>
          <w:rFonts w:ascii="Times New Roman" w:hAnsi="Times New Roman" w:cs="Times New Roman"/>
          <w:sz w:val="28"/>
          <w:szCs w:val="28"/>
          <w:lang w:val="pl-PL"/>
        </w:rPr>
        <w:t>SĘDZIA PINTO DE ALBUQUERQUE</w:t>
      </w:r>
    </w:p>
    <w:p w:rsidR="00A52C5C" w:rsidRPr="00B025B2" w:rsidRDefault="00A52C5C" w:rsidP="00A500BE">
      <w:pPr>
        <w:spacing w:after="0" w:line="240" w:lineRule="auto"/>
        <w:ind w:right="567"/>
        <w:jc w:val="both"/>
        <w:rPr>
          <w:lang w:val="pl-PL"/>
        </w:rPr>
      </w:pP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 Zgadzam się z wnioskami Izby, jednak nie z przedstawionym uzasadnieniem. Znowu okazano brak poszanowania dla standardów dotyczących prawa do swobodnego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określonych przez Europejską Komisję na rzecz Demokracji przez Prawo (zwanej dalej Komisją Wenecką), Organizację Bezpieczeństwa i Współpracy w Europie (OBWE) oraz specjalnego sprawozdawcę ONZ ds.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i zrzeszania się</w:t>
      </w:r>
      <w:r>
        <w:rPr>
          <w:rStyle w:val="FootnoteReference"/>
          <w:rFonts w:ascii="Times New Roman" w:hAnsi="Times New Roman" w:cs="Times New Roman"/>
          <w:sz w:val="24"/>
          <w:szCs w:val="24"/>
        </w:rPr>
        <w:footnoteReference w:id="2"/>
      </w:r>
      <w:r w:rsidRPr="009C0834">
        <w:rPr>
          <w:rFonts w:ascii="Times New Roman" w:hAnsi="Times New Roman" w:cs="Times New Roman"/>
          <w:sz w:val="24"/>
          <w:szCs w:val="24"/>
          <w:lang w:val="pl-PL"/>
        </w:rPr>
        <w:t>. Nie zwrócono uwagi na szeroko przyjęte domniemanie prawne na korzyść pokojowych zgromadzeń oraz wynikającą z niego zasadę, że to Rząd jest zobowiązany do przedstawienia dowodów uzasadniających ograniczenie prawa do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Co więcej, kwalifikacja prawna faktów jako „spontanicznego marszu” jest technicznie niepoprawna. Kluczowa kwestia prawna w tej sprawie leży gdzie indziej. Pytanie, które należało zadać, brzmi: jaką ochronę Europejska konwencja praw człowieka (Konwencja) gwarantuje demonstrantom w drodze na miejsce zgromadzenia i po jego opuszczeniu? Celem niniejszej opinii jest udzielenie odpowiedzi na to pytanie po ustaleniu faktów w świetle odpowiednich zasad dotyczących ciężaru dowodu.</w:t>
      </w:r>
    </w:p>
    <w:p w:rsidR="00A52C5C" w:rsidRDefault="00A52C5C" w:rsidP="009533B7">
      <w:pPr>
        <w:spacing w:after="0" w:line="240" w:lineRule="auto"/>
        <w:ind w:left="595" w:right="567"/>
        <w:jc w:val="both"/>
        <w:rPr>
          <w:rFonts w:ascii="Times New Roman" w:hAnsi="Times New Roman" w:cs="Times New Roman"/>
          <w:b/>
          <w:bCs/>
          <w:sz w:val="24"/>
          <w:szCs w:val="24"/>
          <w:lang w:val="pl-PL"/>
        </w:rPr>
      </w:pPr>
    </w:p>
    <w:p w:rsidR="00A52C5C" w:rsidRPr="00B025B2" w:rsidRDefault="00A52C5C" w:rsidP="009533B7">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Ciężar dowodu w odniesieniu do okoliczności uzasadniających ograniczenie wolności zgromadz</w:t>
      </w:r>
      <w:r>
        <w:rPr>
          <w:rFonts w:ascii="Times New Roman" w:hAnsi="Times New Roman" w:cs="Times New Roman"/>
          <w:b/>
          <w:bCs/>
          <w:sz w:val="24"/>
          <w:szCs w:val="24"/>
          <w:lang w:val="pl-PL"/>
        </w:rPr>
        <w:t>e</w:t>
      </w:r>
      <w:r w:rsidRPr="009C0834">
        <w:rPr>
          <w:rFonts w:ascii="Times New Roman" w:hAnsi="Times New Roman" w:cs="Times New Roman"/>
          <w:b/>
          <w:bCs/>
          <w:sz w:val="24"/>
          <w:szCs w:val="24"/>
          <w:lang w:val="pl-PL"/>
        </w:rPr>
        <w:t>nia się</w:t>
      </w:r>
    </w:p>
    <w:p w:rsidR="00A52C5C" w:rsidRPr="00B025B2" w:rsidRDefault="00A52C5C" w:rsidP="00A500BE">
      <w:pPr>
        <w:spacing w:after="0" w:line="240" w:lineRule="auto"/>
        <w:ind w:right="567"/>
        <w:jc w:val="both"/>
        <w:rPr>
          <w:lang w:val="pl-PL"/>
        </w:rPr>
      </w:pP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2. Nie mogę przyjąć oceny faktów dokonanej przez Izbę. Izba uznała, że akta sprawy nie zawierają wystarczających dowodów, aby orzec, czy policja wydała skarżącym polecenie zatrzymania się, a w konsekwencji, aby orzec o zgodności działań władz z prawem</w:t>
      </w:r>
      <w:r>
        <w:rPr>
          <w:rStyle w:val="FootnoteReference"/>
          <w:rFonts w:ascii="Times New Roman" w:hAnsi="Times New Roman" w:cs="Times New Roman"/>
          <w:sz w:val="24"/>
          <w:szCs w:val="24"/>
        </w:rPr>
        <w:footnoteReference w:id="3"/>
      </w:r>
      <w:r w:rsidRPr="009C0834">
        <w:rPr>
          <w:rFonts w:ascii="Times New Roman" w:hAnsi="Times New Roman" w:cs="Times New Roman"/>
          <w:sz w:val="24"/>
          <w:szCs w:val="24"/>
          <w:lang w:val="pl-PL"/>
        </w:rPr>
        <w:t>. Paragraf 67 wyroku oraz późniejsze uzasadnienie oparto na założeniu: „nawet zakładając, że policja przedstawiła fakty zgodnie z prawdą, a skarżący rzeczywiście nie zastosowali się do polecenia nakazującego zakończenie marszu...”. Założenie to, skłaniające się ku wersji przedstawionej przez Rząd, jest odmienne od zgodnego stanowiska Komisji Weneckiej, OBWE i specjalnego sprawozdawcy ONZ ds.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i zrzeszania się opierającego się na domniemaniu prawnym na korzyść pokojowych zgromadzeń i marszy.</w:t>
      </w:r>
    </w:p>
    <w:p w:rsidR="00A52C5C" w:rsidRPr="00B025B2" w:rsidRDefault="00A52C5C" w:rsidP="009533B7">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3. Z zasady należy domniemywać, że zgromadzenia i marsze są zgodne z prawem i nie stanowią zagrożenia dla porządku publicznego do czasu, aż Rząd przedstawi przekonujące dowody na obalenie tego domniemania</w:t>
      </w:r>
      <w:r>
        <w:rPr>
          <w:rStyle w:val="FootnoteReference"/>
          <w:rFonts w:ascii="Times New Roman" w:hAnsi="Times New Roman" w:cs="Times New Roman"/>
          <w:sz w:val="24"/>
          <w:szCs w:val="24"/>
        </w:rPr>
        <w:footnoteReference w:id="4"/>
      </w:r>
      <w:r w:rsidRPr="009C0834">
        <w:rPr>
          <w:rFonts w:ascii="Times New Roman" w:hAnsi="Times New Roman" w:cs="Times New Roman"/>
          <w:sz w:val="24"/>
          <w:szCs w:val="24"/>
          <w:lang w:val="pl-PL"/>
        </w:rPr>
        <w:t>.</w:t>
      </w:r>
      <w:r>
        <w:rPr>
          <w:rFonts w:ascii="Times New Roman" w:hAnsi="Times New Roman" w:cs="Times New Roman"/>
          <w:sz w:val="24"/>
          <w:szCs w:val="24"/>
          <w:lang w:val="pl-PL"/>
        </w:rPr>
        <w:t xml:space="preserve"> W</w:t>
      </w:r>
      <w:r w:rsidRPr="009C0834">
        <w:rPr>
          <w:rFonts w:ascii="Times New Roman" w:hAnsi="Times New Roman" w:cs="Times New Roman"/>
          <w:sz w:val="24"/>
          <w:szCs w:val="24"/>
          <w:lang w:val="pl-PL"/>
        </w:rPr>
        <w:t xml:space="preserve"> konsekwencji ciężar dowodu w odniesieniu do okoliczności uzasadniających ograniczenie wolności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leży po stronie Rządu</w:t>
      </w:r>
      <w:r>
        <w:rPr>
          <w:rStyle w:val="FootnoteReference"/>
          <w:rFonts w:ascii="Times New Roman" w:hAnsi="Times New Roman" w:cs="Times New Roman"/>
          <w:sz w:val="24"/>
          <w:szCs w:val="24"/>
        </w:rPr>
        <w:footnoteReference w:id="5"/>
      </w:r>
      <w:r w:rsidRPr="009C0834">
        <w:rPr>
          <w:rFonts w:ascii="Times New Roman" w:hAnsi="Times New Roman" w:cs="Times New Roman"/>
          <w:sz w:val="24"/>
          <w:szCs w:val="24"/>
          <w:lang w:val="pl-PL"/>
        </w:rPr>
        <w:t>. Jeżeli Izba zastosowałaby międzynarodowe standardy w sprawie legalności zgromadzeń i marszy oraz powiązanego z nimi ciężaru dowodu leżącego po stronie Rządu, uniknęłaby postawienia się w niewygodnej sytuacji orzekania w niniejszej sprawie na podstawie sprzecznych założeń co do faktów.</w:t>
      </w:r>
    </w:p>
    <w:p w:rsidR="00A52C5C" w:rsidRPr="00B025B2" w:rsidRDefault="00A52C5C" w:rsidP="00C7229A">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4. Ważąc sprzeczne wersje faktów, Izba nie wyjaśniła wystarczająco rażących uchybień proceduralnych, które charakteryzowały postępowanie przed sądami krajowymi, mianowicie kilkukrotnej odmowy kontaktu skarżących z prawnikami</w:t>
      </w:r>
      <w:r>
        <w:rPr>
          <w:rStyle w:val="FootnoteReference"/>
          <w:rFonts w:ascii="Times New Roman" w:hAnsi="Times New Roman" w:cs="Times New Roman"/>
          <w:sz w:val="24"/>
          <w:szCs w:val="24"/>
        </w:rPr>
        <w:footnoteReference w:id="6"/>
      </w:r>
      <w:r w:rsidRPr="009C0834">
        <w:rPr>
          <w:rFonts w:ascii="Times New Roman" w:hAnsi="Times New Roman" w:cs="Times New Roman"/>
          <w:sz w:val="24"/>
          <w:szCs w:val="24"/>
          <w:lang w:val="pl-PL"/>
        </w:rPr>
        <w:t>, oddalenia pytań obrony do świadków oskarżenia</w:t>
      </w:r>
      <w:r>
        <w:rPr>
          <w:rStyle w:val="FootnoteReference"/>
          <w:rFonts w:ascii="Times New Roman" w:hAnsi="Times New Roman" w:cs="Times New Roman"/>
          <w:sz w:val="24"/>
          <w:szCs w:val="24"/>
        </w:rPr>
        <w:footnoteReference w:id="7"/>
      </w:r>
      <w:r w:rsidRPr="009C0834">
        <w:rPr>
          <w:rFonts w:ascii="Times New Roman" w:hAnsi="Times New Roman" w:cs="Times New Roman"/>
          <w:sz w:val="16"/>
          <w:szCs w:val="16"/>
          <w:lang w:val="pl-PL"/>
        </w:rPr>
        <w:t xml:space="preserve"> </w:t>
      </w:r>
      <w:r w:rsidRPr="009C0834">
        <w:rPr>
          <w:rFonts w:ascii="Times New Roman" w:hAnsi="Times New Roman" w:cs="Times New Roman"/>
          <w:sz w:val="24"/>
          <w:szCs w:val="24"/>
          <w:lang w:val="pl-PL"/>
        </w:rPr>
        <w:t>oraz odmowy dopuszczenia przeprowadzenia dowodu z zeznań świadków obrony</w:t>
      </w:r>
      <w:r>
        <w:rPr>
          <w:rStyle w:val="FootnoteReference"/>
          <w:rFonts w:ascii="Times New Roman" w:hAnsi="Times New Roman" w:cs="Times New Roman"/>
          <w:sz w:val="24"/>
          <w:szCs w:val="24"/>
        </w:rPr>
        <w:footnoteReference w:id="8"/>
      </w:r>
      <w:r w:rsidRPr="009C0834">
        <w:rPr>
          <w:rFonts w:ascii="Times New Roman" w:hAnsi="Times New Roman" w:cs="Times New Roman"/>
          <w:sz w:val="24"/>
          <w:szCs w:val="24"/>
          <w:lang w:val="pl-PL"/>
        </w:rPr>
        <w:t>, dwóch nagrań wideo przedstawiających zatrzymanie pierwszego skarżącego (sfilmowanego przez T. i A.) oraz materiału wideo dostępnego policji</w:t>
      </w:r>
      <w:r>
        <w:rPr>
          <w:rStyle w:val="FootnoteReference"/>
          <w:rFonts w:ascii="Times New Roman" w:hAnsi="Times New Roman" w:cs="Times New Roman"/>
          <w:sz w:val="24"/>
          <w:szCs w:val="24"/>
        </w:rPr>
        <w:footnoteReference w:id="9"/>
      </w:r>
      <w:r w:rsidRPr="009C0834">
        <w:rPr>
          <w:rFonts w:ascii="Times New Roman" w:hAnsi="Times New Roman" w:cs="Times New Roman"/>
          <w:sz w:val="24"/>
          <w:szCs w:val="24"/>
          <w:lang w:val="pl-PL"/>
        </w:rPr>
        <w:t>. Te poważne uchybienia miały wyraźny wpływ na wiarygodność wersji wydarzeń przedstawionej przez Rząd, która zgadza się z wersją policji i sądów krajowych.</w:t>
      </w:r>
    </w:p>
    <w:p w:rsidR="00A52C5C" w:rsidRPr="00B025B2" w:rsidRDefault="00A52C5C" w:rsidP="00A500BE">
      <w:pPr>
        <w:spacing w:after="0" w:line="240" w:lineRule="auto"/>
        <w:ind w:left="595" w:right="567"/>
        <w:jc w:val="both"/>
        <w:rPr>
          <w:rFonts w:ascii="Times New Roman" w:hAnsi="Times New Roman" w:cs="Times New Roman"/>
          <w:sz w:val="16"/>
          <w:szCs w:val="16"/>
          <w:lang w:val="pl-PL"/>
        </w:rPr>
      </w:pPr>
      <w:r w:rsidRPr="009C0834">
        <w:rPr>
          <w:rFonts w:ascii="Times New Roman" w:hAnsi="Times New Roman" w:cs="Times New Roman"/>
          <w:sz w:val="24"/>
          <w:szCs w:val="24"/>
          <w:lang w:val="pl-PL"/>
        </w:rPr>
        <w:t xml:space="preserve">Biorąc pod uwagę stronnicze rozstrzygnięcie sprawy przez sądy krajowe, nie jest dla mnie zaskoczeniem, że dowody znajdujące się w aktach sprawy są tak słabe i nieprzekonujące. To wina władz krajowych, które nie przeprowadziły prawdziwego procesu sądowego przeciwko skarżącym, a raczej sądową farsę zachowującą pozory procesu. Oprócz różnych sztucznych ograniczeń proceduralnych, którym pełnomocnicy skarżących musieli stawić czoła, absolutnym skandalem jest fakt, że obrońcy pierwszego skarżącego nie pozwolono nawet zadać trzech bardzo istotnych pytań funkcjonariuszom policji, którzy dokonali zatrzymania: </w:t>
      </w:r>
      <w:r>
        <w:rPr>
          <w:rFonts w:ascii="Times New Roman" w:hAnsi="Times New Roman" w:cs="Times New Roman"/>
          <w:sz w:val="24"/>
          <w:szCs w:val="24"/>
          <w:lang w:val="pl-PL"/>
        </w:rPr>
        <w:t>„</w:t>
      </w:r>
      <w:r w:rsidRPr="009C0834">
        <w:rPr>
          <w:rFonts w:ascii="Times New Roman" w:hAnsi="Times New Roman" w:cs="Times New Roman"/>
          <w:sz w:val="24"/>
          <w:szCs w:val="24"/>
          <w:lang w:val="pl-PL"/>
        </w:rPr>
        <w:t>Jakie polecenia wydałeś osobiście p. Navalnemu?”, „Kto wydał rozkaz zatrzymania p. Navalnego?” oraz „Dlaczego dwa raporty policyjne były identyczne?”</w:t>
      </w:r>
      <w:r>
        <w:rPr>
          <w:rStyle w:val="FootnoteReference"/>
          <w:rFonts w:ascii="Times New Roman" w:hAnsi="Times New Roman" w:cs="Times New Roman"/>
          <w:sz w:val="24"/>
          <w:szCs w:val="24"/>
        </w:rPr>
        <w:footnoteReference w:id="10"/>
      </w:r>
    </w:p>
    <w:p w:rsidR="00A52C5C" w:rsidRPr="00B025B2" w:rsidRDefault="00A52C5C" w:rsidP="005B1EC2">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5. Wobec tak ostentacyjnej sądowej farsy założenie, że wersja zdarzeń przedstawiona przez policję była prawdziwa, tak jak zrobiła to Izba w paragrafie 67, jest bardzo trudne do przyjęcia. Co więcej, ewidentnie nie do zaakceptowania jest fakt uznania naruszenia art. 6 Konwencji ze względu na uchybienia proceduralne omówione powyżej, tak jak to słusznie zrobiła Izba w paragrafie 83, przy jednoczesnym założeniu, że to wersja zdarzeń przedstawiona przez policję była prawdziwa. Izba krytykuje sądy krajowe za oparcie swoich wyroków „włącznie na wersji przedstawionej przez policję”</w:t>
      </w:r>
      <w:r>
        <w:rPr>
          <w:rStyle w:val="FootnoteReference"/>
          <w:rFonts w:ascii="Times New Roman" w:hAnsi="Times New Roman" w:cs="Times New Roman"/>
          <w:sz w:val="24"/>
          <w:szCs w:val="24"/>
        </w:rPr>
        <w:footnoteReference w:id="11"/>
      </w:r>
      <w:r w:rsidRPr="009C0834">
        <w:rPr>
          <w:rFonts w:ascii="Times New Roman" w:hAnsi="Times New Roman" w:cs="Times New Roman"/>
          <w:sz w:val="24"/>
          <w:szCs w:val="24"/>
          <w:lang w:val="pl-PL"/>
        </w:rPr>
        <w:t>, a jednocześnie przyjmuje tę wersję zdarzeń. Jest to dla mnie niezrozumiałe. Mówiąc prosto, paragraf 67 nie jest logicznie spójny z paragraf 83 wyroku. Dokładnie te same powody, które sprawiły, że Izba – słusznie – uznała naruszenie art. 6 Konwencji, powinny spowodować odrzucenie wersji policji, tj. wersji Rządu, jako wersji prawdziwej. Wręcz przeciwnie, zupełnie dyskredytujący sposób, w jaki władze krajowe postępowały w czasie procesów skarżących, jest mocnym sygnałem, że wersji zdarzeń przedstawionej przez policję nie można przyjąć za prawdziwy i dokładny opis zdarzeń, a raczej jako manipulację rzeczywistości w celu obciążenia skarżących. Jeżeli do nagannego postępowania sądów krajowych dodać zachowanie policji, która przewoziła skarżących przez około sześć godzin pomiędzy trzema kolejnymi komendami bez żadnego uzasadnionego powodu oraz wbrew przepisom prawa trzymała ich przez noc w areszcie w fatalnych warunkach na komendzie policji w Kitay-Gorodzie bez dostępu do jedzenia i wody pitnej</w:t>
      </w:r>
      <w:r>
        <w:rPr>
          <w:rStyle w:val="FootnoteReference"/>
          <w:rFonts w:ascii="Times New Roman" w:hAnsi="Times New Roman" w:cs="Times New Roman"/>
          <w:sz w:val="24"/>
          <w:szCs w:val="24"/>
        </w:rPr>
        <w:footnoteReference w:id="12"/>
      </w:r>
      <w:r w:rsidRPr="009C0834">
        <w:rPr>
          <w:rFonts w:ascii="Times New Roman" w:hAnsi="Times New Roman" w:cs="Times New Roman"/>
          <w:sz w:val="24"/>
          <w:szCs w:val="24"/>
          <w:lang w:val="pl-PL"/>
        </w:rPr>
        <w:t>, to wynikający z tego scenariusz arbitralności mówi, jak mało wiarygodna była wersja policji oraz wreszcie jak niesprzyjające były okoliczności, w których skarżący chcieli wypowiedzieć się na arenie publicznej</w:t>
      </w:r>
      <w:r>
        <w:rPr>
          <w:rStyle w:val="FootnoteReference"/>
          <w:rFonts w:ascii="Times New Roman" w:hAnsi="Times New Roman" w:cs="Times New Roman"/>
          <w:sz w:val="24"/>
          <w:szCs w:val="24"/>
        </w:rPr>
        <w:footnoteReference w:id="13"/>
      </w:r>
      <w:r w:rsidRPr="009C0834">
        <w:rPr>
          <w:rFonts w:ascii="Times New Roman" w:hAnsi="Times New Roman" w:cs="Times New Roman"/>
          <w:sz w:val="24"/>
          <w:szCs w:val="24"/>
          <w:lang w:val="pl-PL"/>
        </w:rPr>
        <w:t>.</w:t>
      </w:r>
    </w:p>
    <w:p w:rsidR="00A52C5C" w:rsidRDefault="00A52C5C" w:rsidP="00571E6E">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6. To Rząd miał obowiązek udowodnić przed Trybunałem, że doszło do nielegalnego marszu na ulicy lub na chodniku, że uczestnicy, w tym skarżący, szli razem we wspólnym celu demonstrowania, że policja przerwała ten marsz i nakazała skarżącym przerwanie marszu oraz że skarżący świadomie nie zastosowali się do tego polecenia, stawiali opór i z tego powodu zostali </w:t>
      </w:r>
      <w:r>
        <w:rPr>
          <w:rFonts w:ascii="Times New Roman" w:hAnsi="Times New Roman" w:cs="Times New Roman"/>
          <w:sz w:val="24"/>
          <w:szCs w:val="24"/>
          <w:lang w:val="pl-PL"/>
        </w:rPr>
        <w:t>zatrzymani</w:t>
      </w:r>
      <w:r>
        <w:rPr>
          <w:rStyle w:val="FootnoteReference"/>
          <w:rFonts w:ascii="Times New Roman" w:hAnsi="Times New Roman" w:cs="Times New Roman"/>
          <w:sz w:val="24"/>
          <w:szCs w:val="24"/>
        </w:rPr>
        <w:footnoteReference w:id="14"/>
      </w:r>
      <w:r w:rsidRPr="009C0834">
        <w:rPr>
          <w:rFonts w:ascii="Times New Roman" w:hAnsi="Times New Roman" w:cs="Times New Roman"/>
          <w:sz w:val="24"/>
          <w:szCs w:val="24"/>
          <w:lang w:val="pl-PL"/>
        </w:rPr>
        <w:t>.</w:t>
      </w:r>
    </w:p>
    <w:p w:rsidR="00A52C5C" w:rsidRPr="00B025B2" w:rsidRDefault="00A52C5C" w:rsidP="00571E6E">
      <w:pPr>
        <w:spacing w:after="0" w:line="240" w:lineRule="auto"/>
        <w:ind w:left="595" w:right="567" w:firstLine="12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Zmniejszając ciężar dowodu po stronie Rządu, Izba poparła wersję zdarzeń przedstawioną przez Rząd, nie przedstawiając żadnego przekonującego powodu. Ponieważ – jak Izba słusznie stwierdziła w paragrafie 59 – Rząd nie przedstawił wystarczających dowodów, że te zdarzenia rzeczywiście miały miejsce, Trybunał powinien dojść do wniosku, że wersja zdarzeń przedstawiona przez policję była bezpodstawna, a w rezultacie nie doszło do „marszu”, żadne polecenia policji nie zostały wydane, a zatem nie doszło do nieposłuszeństwa. Doszedłem do tego wniosku, biorąc pod uwagę fakt, że Rząd nie wywiązał się należycie z obowiązku przedstawienia dowodów wymaganych w świetle wspomnianego wyżej znajdującego zastosowanie międzynarodowego standardu dowodowego</w:t>
      </w:r>
      <w:r>
        <w:rPr>
          <w:rStyle w:val="FootnoteReference"/>
          <w:rFonts w:ascii="Times New Roman" w:hAnsi="Times New Roman" w:cs="Times New Roman"/>
          <w:sz w:val="24"/>
          <w:szCs w:val="24"/>
        </w:rPr>
        <w:footnoteReference w:id="15"/>
      </w:r>
      <w:r w:rsidRPr="009C0834">
        <w:rPr>
          <w:rFonts w:ascii="Times New Roman" w:hAnsi="Times New Roman" w:cs="Times New Roman"/>
          <w:sz w:val="24"/>
          <w:szCs w:val="24"/>
          <w:lang w:val="pl-PL"/>
        </w:rPr>
        <w:t>.</w:t>
      </w:r>
    </w:p>
    <w:p w:rsidR="00A52C5C" w:rsidRPr="00B025B2" w:rsidRDefault="00A52C5C" w:rsidP="00A500BE">
      <w:pPr>
        <w:spacing w:after="0" w:line="240" w:lineRule="auto"/>
        <w:ind w:right="567"/>
        <w:jc w:val="both"/>
        <w:rPr>
          <w:sz w:val="20"/>
          <w:szCs w:val="20"/>
          <w:lang w:val="pl-PL"/>
        </w:rPr>
      </w:pPr>
    </w:p>
    <w:p w:rsidR="00A52C5C" w:rsidRDefault="00A52C5C" w:rsidP="00A500BE">
      <w:pPr>
        <w:spacing w:after="0" w:line="240" w:lineRule="auto"/>
        <w:ind w:left="595" w:right="567"/>
        <w:jc w:val="both"/>
        <w:rPr>
          <w:rFonts w:ascii="Times New Roman" w:hAnsi="Times New Roman" w:cs="Times New Roman"/>
          <w:b/>
          <w:bCs/>
          <w:sz w:val="24"/>
          <w:szCs w:val="24"/>
          <w:lang w:val="pl-PL"/>
        </w:rPr>
      </w:pPr>
    </w:p>
    <w:p w:rsidR="00A52C5C" w:rsidRDefault="00A52C5C" w:rsidP="00A500BE">
      <w:pPr>
        <w:spacing w:after="0" w:line="240" w:lineRule="auto"/>
        <w:ind w:left="595" w:right="567"/>
        <w:jc w:val="both"/>
        <w:rPr>
          <w:rFonts w:ascii="Times New Roman" w:hAnsi="Times New Roman" w:cs="Times New Roman"/>
          <w:b/>
          <w:bCs/>
          <w:sz w:val="24"/>
          <w:szCs w:val="24"/>
          <w:lang w:val="pl-PL"/>
        </w:rPr>
      </w:pPr>
    </w:p>
    <w:p w:rsidR="00A52C5C" w:rsidRDefault="00A52C5C" w:rsidP="00A500BE">
      <w:pPr>
        <w:spacing w:after="0" w:line="240" w:lineRule="auto"/>
        <w:ind w:left="595" w:right="567"/>
        <w:jc w:val="both"/>
        <w:rPr>
          <w:rFonts w:ascii="Times New Roman" w:hAnsi="Times New Roman" w:cs="Times New Roman"/>
          <w:b/>
          <w:bCs/>
          <w:sz w:val="24"/>
          <w:szCs w:val="24"/>
          <w:lang w:val="pl-PL"/>
        </w:rPr>
      </w:pPr>
    </w:p>
    <w:p w:rsidR="00A52C5C" w:rsidRDefault="00A52C5C" w:rsidP="00A500BE">
      <w:pPr>
        <w:spacing w:after="0" w:line="240" w:lineRule="auto"/>
        <w:ind w:left="595" w:right="567"/>
        <w:jc w:val="both"/>
        <w:rPr>
          <w:rFonts w:ascii="Times New Roman" w:hAnsi="Times New Roman" w:cs="Times New Roman"/>
          <w:b/>
          <w:bCs/>
          <w:sz w:val="24"/>
          <w:szCs w:val="24"/>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Ochrona „zgromadzeń</w:t>
      </w:r>
      <w:r w:rsidRPr="004B58D5">
        <w:rPr>
          <w:rFonts w:ascii="Times New Roman" w:hAnsi="Times New Roman" w:cs="Times New Roman"/>
          <w:b/>
          <w:bCs/>
          <w:sz w:val="24"/>
          <w:szCs w:val="24"/>
          <w:lang w:val="pl-PL"/>
        </w:rPr>
        <w:t xml:space="preserve"> </w:t>
      </w:r>
      <w:r w:rsidRPr="009C0834">
        <w:rPr>
          <w:rFonts w:ascii="Times New Roman" w:hAnsi="Times New Roman" w:cs="Times New Roman"/>
          <w:b/>
          <w:bCs/>
          <w:sz w:val="24"/>
          <w:szCs w:val="24"/>
          <w:lang w:val="pl-PL"/>
        </w:rPr>
        <w:t>spontanicznych” w międzynarodowym systemie ochrony praw człowieka</w:t>
      </w:r>
    </w:p>
    <w:p w:rsidR="00A52C5C" w:rsidRPr="00B025B2" w:rsidRDefault="00A52C5C" w:rsidP="00A500BE">
      <w:pPr>
        <w:spacing w:after="0" w:line="240" w:lineRule="auto"/>
        <w:ind w:left="953" w:right="567"/>
        <w:jc w:val="both"/>
        <w:rPr>
          <w:rFonts w:ascii="Times New Roman" w:hAnsi="Times New Roman" w:cs="Times New Roman"/>
          <w:sz w:val="24"/>
          <w:szCs w:val="24"/>
          <w:lang w:val="pl-PL"/>
        </w:rPr>
      </w:pPr>
    </w:p>
    <w:p w:rsidR="00A52C5C" w:rsidRPr="00B025B2" w:rsidRDefault="00A52C5C" w:rsidP="001B66C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7. Nie mogę się również zgodzić z kwalifikacją prawną faktów dokonaną przez Izbę. Izba odnosiła się ciągle do „spontanicznego marszu”</w:t>
      </w:r>
      <w:r>
        <w:rPr>
          <w:rStyle w:val="FootnoteReference"/>
          <w:rFonts w:ascii="Times New Roman" w:hAnsi="Times New Roman" w:cs="Times New Roman"/>
          <w:sz w:val="24"/>
          <w:szCs w:val="24"/>
        </w:rPr>
        <w:footnoteReference w:id="16"/>
      </w:r>
      <w:r w:rsidRPr="009C0834">
        <w:rPr>
          <w:rFonts w:ascii="Times New Roman" w:hAnsi="Times New Roman" w:cs="Times New Roman"/>
          <w:sz w:val="24"/>
          <w:szCs w:val="24"/>
          <w:lang w:val="pl-PL"/>
        </w:rPr>
        <w:t>. Jest to technicznie niepoprawne. Koncepcją zgromadzenia spontanicznego (</w:t>
      </w:r>
      <w:r>
        <w:rPr>
          <w:rFonts w:ascii="Times New Roman" w:hAnsi="Times New Roman" w:cs="Times New Roman"/>
          <w:i/>
          <w:iCs/>
          <w:sz w:val="24"/>
          <w:szCs w:val="24"/>
        </w:rPr>
        <w:t>стихийное</w:t>
      </w:r>
      <w:r w:rsidRPr="009C0834">
        <w:rPr>
          <w:rFonts w:ascii="Times New Roman" w:hAnsi="Times New Roman" w:cs="Times New Roman"/>
          <w:i/>
          <w:iCs/>
          <w:sz w:val="24"/>
          <w:szCs w:val="24"/>
          <w:lang w:val="pl-PL"/>
        </w:rPr>
        <w:t xml:space="preserve"> </w:t>
      </w:r>
      <w:r>
        <w:rPr>
          <w:rFonts w:ascii="Times New Roman" w:hAnsi="Times New Roman" w:cs="Times New Roman"/>
          <w:i/>
          <w:iCs/>
          <w:sz w:val="24"/>
          <w:szCs w:val="24"/>
        </w:rPr>
        <w:t>собрание</w:t>
      </w:r>
      <w:r w:rsidRPr="009C0834">
        <w:rPr>
          <w:rFonts w:ascii="Times New Roman" w:hAnsi="Times New Roman" w:cs="Times New Roman"/>
          <w:sz w:val="24"/>
          <w:szCs w:val="24"/>
          <w:lang w:val="pl-PL"/>
        </w:rPr>
        <w:t>), która obejmuje spontaniczny marsz, zajmowały się różne instytucje międzynarodowe, które zgodziły się co do szczególnych cech tej koncepcji.</w:t>
      </w:r>
    </w:p>
    <w:p w:rsidR="00A52C5C" w:rsidRDefault="00A52C5C" w:rsidP="004B58D5">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8. Sam fakt, że wyrażenie takie pojawia się w przestrzeni publicznej, nie zmienia takiego wydarzenia w zgromadzenie. Przypadkowe spotkanie grupy osób nie jest zgromadzeniem, nawet jeżeli osoby te komunikują się ze sobą przez pewien czas. W trafnym opracowaniu </w:t>
      </w:r>
      <w:r w:rsidRPr="009C0834">
        <w:rPr>
          <w:rFonts w:ascii="Times New Roman" w:hAnsi="Times New Roman" w:cs="Times New Roman"/>
          <w:i/>
          <w:iCs/>
          <w:sz w:val="24"/>
          <w:szCs w:val="24"/>
          <w:lang w:val="pl-PL"/>
        </w:rPr>
        <w:t>Tatár and Fáber</w:t>
      </w:r>
      <w:r w:rsidRPr="009C0834">
        <w:rPr>
          <w:rFonts w:ascii="Times New Roman" w:hAnsi="Times New Roman" w:cs="Times New Roman"/>
          <w:sz w:val="24"/>
          <w:szCs w:val="24"/>
          <w:lang w:val="pl-PL"/>
        </w:rPr>
        <w:t xml:space="preserve"> Trybunał odnosi się do zgromadzenia jako „zebrania się nieokreślonej liczby osób z możliwym do ustalenia zamiarem udziału w określonym procesie komunikacji”</w:t>
      </w:r>
      <w:r>
        <w:rPr>
          <w:rStyle w:val="FootnoteReference"/>
          <w:rFonts w:ascii="Times New Roman" w:hAnsi="Times New Roman" w:cs="Times New Roman"/>
          <w:sz w:val="24"/>
          <w:szCs w:val="24"/>
        </w:rPr>
        <w:footnoteReference w:id="17"/>
      </w:r>
      <w:r w:rsidRPr="009C0834">
        <w:rPr>
          <w:rFonts w:ascii="Times New Roman" w:hAnsi="Times New Roman" w:cs="Times New Roman"/>
          <w:sz w:val="24"/>
          <w:szCs w:val="24"/>
          <w:lang w:val="pl-PL"/>
        </w:rPr>
        <w:t xml:space="preserve"> zgodnie z długą listą orzecznictwa od czasu sprawy </w:t>
      </w:r>
      <w:r w:rsidRPr="009C0834">
        <w:rPr>
          <w:rFonts w:ascii="Times New Roman" w:hAnsi="Times New Roman" w:cs="Times New Roman"/>
          <w:i/>
          <w:iCs/>
          <w:sz w:val="24"/>
          <w:szCs w:val="24"/>
          <w:lang w:val="pl-PL"/>
        </w:rPr>
        <w:t>Partii Wolności i Demokracji (ÖZDEP)</w:t>
      </w:r>
      <w:r w:rsidRPr="009C0834">
        <w:rPr>
          <w:rFonts w:ascii="Times New Roman" w:hAnsi="Times New Roman" w:cs="Times New Roman"/>
          <w:sz w:val="24"/>
          <w:szCs w:val="24"/>
          <w:lang w:val="pl-PL"/>
        </w:rPr>
        <w:t>.</w:t>
      </w:r>
      <w:r>
        <w:rPr>
          <w:rStyle w:val="FootnoteReference"/>
          <w:rFonts w:ascii="Times New Roman" w:hAnsi="Times New Roman" w:cs="Times New Roman"/>
          <w:sz w:val="24"/>
          <w:szCs w:val="24"/>
        </w:rPr>
        <w:footnoteReference w:id="18"/>
      </w:r>
    </w:p>
    <w:p w:rsidR="00A52C5C" w:rsidRDefault="00A52C5C" w:rsidP="004B58D5">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Ta szeroka koncepcja zgromadzenia została zatwierdzona przez różne władze na całym świecie. Na potrzeby Wytycznych w sprawie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2010 OBWE oraz Komisji Weneckiej zgromadzenie oznacza „zamierzoną i ograniczoną w czasie obecność pewnej liczby osób w miejscu publicznym w celu wspólnego wyrażenia opinii”. W art. XXI Amerykańskiej deklaracji praw i obowiązków człowieka prawo do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jest łączone z „kwestiami mieszczącymi się w zakresie wspólnych zainteresowań [uczestników]”: „Każda osoba ma prawo do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z innymi ludźmi na formalnych publicznych zebraniach lub nieformalnych spotkaniach w związku z kwestiami mieszczącymi się w zakresie wspólnych zainteresowań o dowolnym charakterze.”</w:t>
      </w:r>
    </w:p>
    <w:p w:rsidR="00A52C5C" w:rsidRPr="00B025B2" w:rsidRDefault="00A52C5C" w:rsidP="004B58D5">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Specjalny sprawozdawca ONZ ds.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i zrzeszania się zdefiniował zgromadzenie jako „zamierzone i tymczasowe zebranie w przestrzeni prywatnej lub publicznej w określonym celu. Dlatego obejmuje ono demonstracje, spotkania wewnętrzne, strajki, procesje, wiece czy nawet strajki okupacyjne”</w:t>
      </w:r>
      <w:r>
        <w:rPr>
          <w:rStyle w:val="FootnoteReference"/>
          <w:rFonts w:ascii="Times New Roman" w:hAnsi="Times New Roman" w:cs="Times New Roman"/>
          <w:sz w:val="24"/>
          <w:szCs w:val="24"/>
        </w:rPr>
        <w:footnoteReference w:id="19"/>
      </w:r>
      <w:r w:rsidRPr="009C0834">
        <w:rPr>
          <w:rFonts w:ascii="Times New Roman" w:hAnsi="Times New Roman" w:cs="Times New Roman"/>
          <w:sz w:val="24"/>
          <w:szCs w:val="24"/>
          <w:lang w:val="pl-PL"/>
        </w:rPr>
        <w:t>.</w:t>
      </w:r>
    </w:p>
    <w:p w:rsidR="00A52C5C" w:rsidRPr="00B025B2" w:rsidRDefault="00A52C5C" w:rsidP="004B58D5">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u w:val="single"/>
          <w:lang w:val="pl-PL"/>
        </w:rPr>
        <w:t>Dlatego też elementy składowe koncepcji „zgromadzenia” zgodnie z art. 11 Konwencji są zarówno obiektywne – odnosząc się do zebrania co najmniej dwóch osób w miejscu fizycznym przez określony czas – jak i subiektywne – wskazując wspólny zamiar jego uczestników dotyczący dążenia do wspólnego celu poprzez wspólne działanie, tj. wspólnego wyrażenia idei, przekonania, opinii czy przekazu, bez względu na jego religijny, filozoficzny, polityczny, obywatelski, ekonomiczny, społeczny, kulturalny, artystyczny czy ludyczny charakter</w:t>
      </w:r>
      <w:r>
        <w:rPr>
          <w:rStyle w:val="FootnoteReference"/>
          <w:rFonts w:ascii="Times New Roman" w:hAnsi="Times New Roman" w:cs="Times New Roman"/>
          <w:sz w:val="24"/>
          <w:szCs w:val="24"/>
          <w:u w:val="single"/>
        </w:rPr>
        <w:footnoteReference w:id="20"/>
      </w:r>
      <w:r w:rsidRPr="009C0834">
        <w:rPr>
          <w:rFonts w:ascii="Times New Roman" w:hAnsi="Times New Roman" w:cs="Times New Roman"/>
          <w:sz w:val="24"/>
          <w:szCs w:val="24"/>
          <w:lang w:val="pl-PL"/>
        </w:rPr>
        <w:t>. Zgromadzenia statyczne, takie jak spotkania, akcje masowe, „</w:t>
      </w:r>
      <w:r w:rsidRPr="004B58D5">
        <w:rPr>
          <w:rFonts w:ascii="Times New Roman" w:hAnsi="Times New Roman" w:cs="Times New Roman"/>
          <w:i/>
          <w:iCs/>
          <w:sz w:val="24"/>
          <w:szCs w:val="24"/>
          <w:lang w:val="pl-PL"/>
        </w:rPr>
        <w:t>flash moby</w:t>
      </w:r>
      <w:r w:rsidRPr="009C0834">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demonstracje, strajki okupacyjne oraz pikiety, tak jak zgromadzenia dynamiczne, jak marsze, parady, procesje, kondukty pogrzebowe, pielgrzymki i konwoje, wykazują te elementy.</w:t>
      </w:r>
    </w:p>
    <w:p w:rsidR="00A52C5C" w:rsidRDefault="00A52C5C" w:rsidP="001B66C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9. Wobec powyższego nie mogę zgodzić się z kluczowym ostatnim zdaniem paragrafu 56 wyroku, który zakłada, że punkt widzenia policji jest czynnikiem decydującym o zakwalifikowaniu marszu jako takiego „nawet jeżeli sami skarżący nie postrzegali go jako takiego”. To pomieszanie „marszu” i </w:t>
      </w:r>
      <w:r w:rsidRPr="00E03A2C">
        <w:rPr>
          <w:rFonts w:ascii="Times New Roman" w:hAnsi="Times New Roman" w:cs="Times New Roman"/>
          <w:sz w:val="24"/>
          <w:szCs w:val="24"/>
          <w:lang w:val="pl-PL"/>
        </w:rPr>
        <w:t>„domniemanego marszu”,</w:t>
      </w:r>
      <w:r w:rsidRPr="009C0834">
        <w:rPr>
          <w:rFonts w:ascii="Times New Roman" w:hAnsi="Times New Roman" w:cs="Times New Roman"/>
          <w:sz w:val="24"/>
          <w:szCs w:val="24"/>
          <w:lang w:val="pl-PL"/>
        </w:rPr>
        <w:t xml:space="preserve"> jak gdyby koncepcje te były tożsame pod względem prawnym, pojawia się także w paragrafie 64. Na tej </w:t>
      </w:r>
      <w:r>
        <w:rPr>
          <w:rFonts w:ascii="Times New Roman" w:hAnsi="Times New Roman" w:cs="Times New Roman"/>
          <w:sz w:val="24"/>
          <w:szCs w:val="24"/>
          <w:lang w:val="pl-PL"/>
        </w:rPr>
        <w:t xml:space="preserve">błędnej </w:t>
      </w:r>
      <w:r w:rsidRPr="009C0834">
        <w:rPr>
          <w:rFonts w:ascii="Times New Roman" w:hAnsi="Times New Roman" w:cs="Times New Roman"/>
          <w:sz w:val="24"/>
          <w:szCs w:val="24"/>
          <w:lang w:val="pl-PL"/>
        </w:rPr>
        <w:t>podstawie prawnej Izba zignorowała materialny element składowy koncepcji zgromadzeń statycznych i dynamicznych oraz przyjęła pogląd funkcjonariuszy policji jako znaczący z prawnego punktu widzenia parametr subiektywny.</w:t>
      </w:r>
    </w:p>
    <w:p w:rsidR="00A52C5C" w:rsidRPr="00B025B2" w:rsidRDefault="00A52C5C" w:rsidP="001B66C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 10. Z zasady przepis dotyczący powiadomienia o wydarzeniach publicznych z rozsądnym wyprzedzeniem może być pomocny, jako że umożliwia to władzom podjęcie odpowiednich środków w celu zapewnienia ich płynnego przebiegu. Jednakże mogą istnieć przypadki, kiedy, jak wskazuje OBWE/DBiPCz oraz Komisja Wenecka</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wydarzenie publiczne jest organizowane jako „pilna lub spontaniczna odpowiedź na nieprzewidziane wydarzenia, w przypadku której dotrzymanie zwykłych terminów zgłoszenia może okazać się niemożliwe”. Co więcej, aby zgromadzenie było rzeczywiście „spontaniczne”, musi istnieć „bliska relacja czasowa pomiędzy wydarzeniem („zjawiskiem lub zdarzeniem”), które stymuluje zgromadzenie</w:t>
      </w:r>
      <w:r>
        <w:rPr>
          <w:rFonts w:ascii="Times New Roman" w:hAnsi="Times New Roman" w:cs="Times New Roman"/>
          <w:sz w:val="24"/>
          <w:szCs w:val="24"/>
          <w:lang w:val="pl-PL"/>
        </w:rPr>
        <w:t xml:space="preserve"> się, a</w:t>
      </w:r>
      <w:r w:rsidRPr="009C0834">
        <w:rPr>
          <w:rFonts w:ascii="Times New Roman" w:hAnsi="Times New Roman" w:cs="Times New Roman"/>
          <w:sz w:val="24"/>
          <w:szCs w:val="24"/>
          <w:lang w:val="pl-PL"/>
        </w:rPr>
        <w:t xml:space="preserve"> z</w:t>
      </w:r>
      <w:r>
        <w:rPr>
          <w:rFonts w:ascii="Times New Roman" w:hAnsi="Times New Roman" w:cs="Times New Roman"/>
          <w:sz w:val="24"/>
          <w:szCs w:val="24"/>
          <w:lang w:val="pl-PL"/>
        </w:rPr>
        <w:t>gromadzeniem</w:t>
      </w:r>
      <w:r w:rsidRPr="009C0834">
        <w:rPr>
          <w:rFonts w:ascii="Times New Roman" w:hAnsi="Times New Roman" w:cs="Times New Roman"/>
          <w:sz w:val="24"/>
          <w:szCs w:val="24"/>
          <w:lang w:val="pl-PL"/>
        </w:rPr>
        <w:t>.”</w:t>
      </w:r>
      <w:r>
        <w:rPr>
          <w:rStyle w:val="FootnoteReference"/>
          <w:rFonts w:ascii="Times New Roman" w:hAnsi="Times New Roman" w:cs="Times New Roman"/>
          <w:sz w:val="24"/>
          <w:szCs w:val="24"/>
        </w:rPr>
        <w:footnoteReference w:id="21"/>
      </w:r>
      <w:r w:rsidRPr="009C0834">
        <w:rPr>
          <w:rFonts w:ascii="Times New Roman" w:hAnsi="Times New Roman" w:cs="Times New Roman"/>
          <w:sz w:val="16"/>
          <w:szCs w:val="16"/>
          <w:lang w:val="pl-PL"/>
        </w:rPr>
        <w:t xml:space="preserve"> </w:t>
      </w:r>
      <w:r w:rsidRPr="009C0834">
        <w:rPr>
          <w:rFonts w:ascii="Times New Roman" w:hAnsi="Times New Roman" w:cs="Times New Roman"/>
          <w:sz w:val="24"/>
          <w:szCs w:val="24"/>
          <w:lang w:val="pl-PL"/>
        </w:rPr>
        <w:t>Wreszcie</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władze mogą zmieniać czas, miejsce i trasę spontanicznych pokojowych zgromadzeń tylko wtedy, kiedy istnieje autentyczne zagrożenie dla jego przeprowadzenia lub bezpieczeństwa jego uczestników lub osób pozostających w okolicy. Mogą tego dokonać jedynie wtedy, kiedy prześlą do organizatorów powiadomienie przedstawiające powody takiej decyzji. Ważne jest również umożliwienie organizatorom zaskarżenia takiej decyzji władz do stosownych organów, w tym sądu</w:t>
      </w:r>
      <w:r>
        <w:rPr>
          <w:rStyle w:val="FootnoteReference"/>
          <w:rFonts w:ascii="Times New Roman" w:hAnsi="Times New Roman" w:cs="Times New Roman"/>
          <w:sz w:val="24"/>
          <w:szCs w:val="24"/>
        </w:rPr>
        <w:footnoteReference w:id="22"/>
      </w:r>
      <w:r w:rsidRPr="009C0834">
        <w:rPr>
          <w:rFonts w:ascii="Times New Roman" w:hAnsi="Times New Roman" w:cs="Times New Roman"/>
          <w:sz w:val="24"/>
          <w:szCs w:val="24"/>
          <w:lang w:val="pl-PL"/>
        </w:rPr>
        <w:t>.</w:t>
      </w:r>
    </w:p>
    <w:p w:rsidR="00A52C5C" w:rsidRDefault="00A52C5C" w:rsidP="001B66C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Specjalny sprawozdawca ONZ ds.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i zrzeszania się twierdzi również, że „spontaniczne pokojowe zgromadzenia, które zazwyczaj odbywają się w odpowiedzi na określone wydarzenie – jak ogłoszenie wyników – a które z definicji nie mogą stać się przedmiotem wcześniejszego powiadomienia, powinny być bardziej tolerowane w kontekście wyborów.”</w:t>
      </w:r>
      <w:r>
        <w:rPr>
          <w:rStyle w:val="FootnoteReference"/>
          <w:rFonts w:ascii="Times New Roman" w:hAnsi="Times New Roman" w:cs="Times New Roman"/>
          <w:sz w:val="24"/>
          <w:szCs w:val="24"/>
        </w:rPr>
        <w:footnoteReference w:id="23"/>
      </w:r>
      <w:r w:rsidRPr="009C0834">
        <w:rPr>
          <w:rFonts w:ascii="Times New Roman" w:hAnsi="Times New Roman" w:cs="Times New Roman"/>
          <w:sz w:val="24"/>
          <w:szCs w:val="24"/>
          <w:lang w:val="pl-PL"/>
        </w:rPr>
        <w:t xml:space="preserve"> Wreszcie Trybunał sam wyraził już pogląd, że „w szczególnych okolicznościach, kiedy uzasadniona jest natychmiastowa odpowiedź w formie demonstracji na wydarzenie polityczne, decyzja o rozwiązaniu wynikającego z nich pokojowego zgromadzenia wyłącznie ze względu na brak wymaganego wcześniejszego powiadomienia przy braku niezgodnego z prawem postępowania</w:t>
      </w:r>
      <w:r>
        <w:rPr>
          <w:rFonts w:ascii="Times New Roman" w:hAnsi="Times New Roman" w:cs="Times New Roman"/>
          <w:sz w:val="24"/>
          <w:szCs w:val="24"/>
          <w:lang w:val="pl-PL"/>
        </w:rPr>
        <w:t xml:space="preserve"> ze strony uczestników</w:t>
      </w:r>
      <w:r w:rsidRPr="009C0834">
        <w:rPr>
          <w:rFonts w:ascii="Times New Roman" w:hAnsi="Times New Roman" w:cs="Times New Roman"/>
          <w:sz w:val="24"/>
          <w:szCs w:val="24"/>
          <w:lang w:val="pl-PL"/>
        </w:rPr>
        <w:t xml:space="preserve"> stanowi nieproporcjonalne ograniczenie wolności pokojowego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w:t>
      </w:r>
      <w:r>
        <w:rPr>
          <w:rStyle w:val="FootnoteReference"/>
          <w:rFonts w:ascii="Times New Roman" w:hAnsi="Times New Roman" w:cs="Times New Roman"/>
          <w:sz w:val="24"/>
          <w:szCs w:val="24"/>
        </w:rPr>
        <w:footnoteReference w:id="24"/>
      </w:r>
      <w:r w:rsidRPr="009C0834">
        <w:rPr>
          <w:rFonts w:ascii="Times New Roman" w:hAnsi="Times New Roman" w:cs="Times New Roman"/>
          <w:sz w:val="24"/>
          <w:szCs w:val="24"/>
          <w:lang w:val="pl-PL"/>
        </w:rPr>
        <w:t xml:space="preserve"> Zatem „szczególne okoliczności” odnoszą się do przypadków, kiedy „natychmiastowa odpowiedź na bieżące wydarzenia ma formę demonstracji”. Mówiąc prościej, </w:t>
      </w:r>
      <w:r w:rsidRPr="009C0834">
        <w:rPr>
          <w:rFonts w:ascii="Times New Roman" w:hAnsi="Times New Roman" w:cs="Times New Roman"/>
          <w:sz w:val="24"/>
          <w:szCs w:val="24"/>
          <w:u w:val="single"/>
          <w:lang w:val="pl-PL"/>
        </w:rPr>
        <w:t>aby można było mówić o zgromadzeniu spontanicznym</w:t>
      </w:r>
      <w:r>
        <w:rPr>
          <w:rFonts w:ascii="Times New Roman" w:hAnsi="Times New Roman" w:cs="Times New Roman"/>
          <w:sz w:val="24"/>
          <w:szCs w:val="24"/>
          <w:u w:val="single"/>
          <w:lang w:val="pl-PL"/>
        </w:rPr>
        <w:t>,</w:t>
      </w:r>
      <w:r w:rsidRPr="009C0834">
        <w:rPr>
          <w:rFonts w:ascii="Times New Roman" w:hAnsi="Times New Roman" w:cs="Times New Roman"/>
          <w:sz w:val="24"/>
          <w:szCs w:val="24"/>
          <w:u w:val="single"/>
          <w:lang w:val="pl-PL"/>
        </w:rPr>
        <w:t xml:space="preserve"> członkom zgromadzenia musi przyświecać wspólny cel zebrania się i demonstrowania w odpowiedni na nowe wydarzenie. To samo tyczy się spontanicznych zgromadzeń dynamicznych, takich jak marsze.</w:t>
      </w:r>
      <w:r w:rsidRPr="009C0834">
        <w:rPr>
          <w:rFonts w:ascii="Times New Roman" w:hAnsi="Times New Roman" w:cs="Times New Roman"/>
          <w:sz w:val="24"/>
          <w:szCs w:val="24"/>
          <w:lang w:val="pl-PL"/>
        </w:rPr>
        <w:t xml:space="preserve"> Takie „zgromadzenia</w:t>
      </w:r>
      <w:r w:rsidRPr="00483DDE">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spontaniczne” są chronione na podstawie art. 11 Konwencji.</w:t>
      </w:r>
    </w:p>
    <w:p w:rsidR="00A52C5C" w:rsidRPr="00B025B2" w:rsidRDefault="00A52C5C" w:rsidP="001B66C0">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 11. Z tej perspektywy sam fakt, że skarżący przeszli określoną odległość wraz z pewną liczbą innych osób”</w:t>
      </w:r>
      <w:r>
        <w:rPr>
          <w:rStyle w:val="FootnoteReference"/>
          <w:rFonts w:ascii="Times New Roman" w:hAnsi="Times New Roman" w:cs="Times New Roman"/>
          <w:sz w:val="24"/>
          <w:szCs w:val="24"/>
        </w:rPr>
        <w:footnoteReference w:id="25"/>
      </w:r>
      <w:r w:rsidRPr="009C0834">
        <w:rPr>
          <w:rFonts w:ascii="Times New Roman" w:hAnsi="Times New Roman" w:cs="Times New Roman"/>
          <w:sz w:val="16"/>
          <w:szCs w:val="16"/>
          <w:lang w:val="pl-PL"/>
        </w:rPr>
        <w:t xml:space="preserve"> </w:t>
      </w:r>
      <w:r w:rsidRPr="009C0834">
        <w:rPr>
          <w:rFonts w:ascii="Times New Roman" w:hAnsi="Times New Roman" w:cs="Times New Roman"/>
          <w:sz w:val="24"/>
          <w:szCs w:val="24"/>
          <w:lang w:val="pl-PL"/>
        </w:rPr>
        <w:t>czy „pojawienia się dużej grupy protestujących poruszających się w skupisku”</w:t>
      </w:r>
      <w:r>
        <w:rPr>
          <w:rStyle w:val="FootnoteReference"/>
          <w:rFonts w:ascii="Times New Roman" w:hAnsi="Times New Roman" w:cs="Times New Roman"/>
          <w:sz w:val="24"/>
          <w:szCs w:val="24"/>
        </w:rPr>
        <w:footnoteReference w:id="26"/>
      </w:r>
      <w:r w:rsidRPr="009C0834">
        <w:rPr>
          <w:rFonts w:ascii="Times New Roman" w:hAnsi="Times New Roman" w:cs="Times New Roman"/>
          <w:sz w:val="16"/>
          <w:szCs w:val="16"/>
          <w:lang w:val="pl-PL"/>
        </w:rPr>
        <w:t xml:space="preserve">, </w:t>
      </w:r>
      <w:r w:rsidRPr="009C0834">
        <w:rPr>
          <w:rFonts w:ascii="Times New Roman" w:hAnsi="Times New Roman" w:cs="Times New Roman"/>
          <w:sz w:val="24"/>
          <w:szCs w:val="24"/>
          <w:lang w:val="pl-PL"/>
        </w:rPr>
        <w:t>nie jest wystarczający, aby zakwalifikować takie zachowanie jako marsz czy zgromadzenie, nie mówiąc już o marszu czy zgromadzeniu</w:t>
      </w:r>
      <w:r w:rsidRPr="00483DDE">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 xml:space="preserve">spontanicznym. W rzeczywistości demonstracja odbyła się wcześniej na Chistyye Prudy, a ludzie po prostu opuszczali miejsce zgromadzenia. Nie przedstawiono Trybunałowi żadnych wiarygodnych dowodów, aby osobom opuszczającym miejsce zgromadzenia w Chistyye Prudy przyświecał wspólny cel maszerowania razem do innego miejsca. </w:t>
      </w:r>
      <w:r w:rsidRPr="00483DDE">
        <w:rPr>
          <w:rFonts w:ascii="Times New Roman" w:hAnsi="Times New Roman" w:cs="Times New Roman"/>
          <w:i/>
          <w:iCs/>
          <w:sz w:val="24"/>
          <w:szCs w:val="24"/>
          <w:lang w:val="pl-PL"/>
        </w:rPr>
        <w:t>A fortiori</w:t>
      </w:r>
      <w:r w:rsidRPr="009C0834">
        <w:rPr>
          <w:rFonts w:ascii="Times New Roman" w:hAnsi="Times New Roman" w:cs="Times New Roman"/>
          <w:sz w:val="24"/>
          <w:szCs w:val="24"/>
          <w:lang w:val="pl-PL"/>
        </w:rPr>
        <w:t xml:space="preserve"> nie dowiedziono również, że skarżący i ich zwolennicy celowo rozpoczęli marsz jako „natychmiastową odpowiedź” na nowe zdarzenie. Z tego powodu kwalifikacja prawna okoliczności faktycznych sprawy jako „spontanicznego marszu” ma wady prawne. Problem prawny podniesiony przez tę sprawę leży gdzie indziej.</w:t>
      </w:r>
    </w:p>
    <w:p w:rsidR="00A52C5C" w:rsidRPr="00B025B2" w:rsidRDefault="00A52C5C" w:rsidP="00A500BE">
      <w:pPr>
        <w:spacing w:after="0" w:line="240" w:lineRule="auto"/>
        <w:ind w:right="567"/>
        <w:jc w:val="both"/>
        <w:rPr>
          <w:sz w:val="16"/>
          <w:szCs w:val="16"/>
          <w:lang w:val="pl-PL"/>
        </w:rPr>
      </w:pPr>
    </w:p>
    <w:p w:rsidR="00A52C5C" w:rsidRPr="00B025B2" w:rsidRDefault="00A52C5C" w:rsidP="00483DD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Wolność dotarcia do miejsca zgromadzenia i jego opuszczenia w międzynarodowym systemie ochrony praw człowieka</w:t>
      </w:r>
    </w:p>
    <w:p w:rsidR="00A52C5C" w:rsidRPr="00B025B2" w:rsidRDefault="00A52C5C" w:rsidP="00A500BE">
      <w:pPr>
        <w:spacing w:after="0" w:line="240" w:lineRule="auto"/>
        <w:ind w:right="567"/>
        <w:jc w:val="both"/>
        <w:rPr>
          <w:lang w:val="pl-PL"/>
        </w:rPr>
      </w:pPr>
    </w:p>
    <w:p w:rsidR="00A52C5C" w:rsidRPr="00B025B2" w:rsidRDefault="00A52C5C" w:rsidP="00320267">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u w:val="single"/>
          <w:lang w:val="pl-PL"/>
        </w:rPr>
        <w:t>12. Ochrona wolności zgromadz</w:t>
      </w:r>
      <w:r>
        <w:rPr>
          <w:rFonts w:ascii="Times New Roman" w:hAnsi="Times New Roman" w:cs="Times New Roman"/>
          <w:sz w:val="24"/>
          <w:szCs w:val="24"/>
          <w:u w:val="single"/>
          <w:lang w:val="pl-PL"/>
        </w:rPr>
        <w:t>e</w:t>
      </w:r>
      <w:r w:rsidRPr="009C0834">
        <w:rPr>
          <w:rFonts w:ascii="Times New Roman" w:hAnsi="Times New Roman" w:cs="Times New Roman"/>
          <w:sz w:val="24"/>
          <w:szCs w:val="24"/>
          <w:u w:val="single"/>
          <w:lang w:val="pl-PL"/>
        </w:rPr>
        <w:t>nia się obejmuje wolność dotarcia do miejsca zgromadzenia oraz wolność opuszczenia go w pokojowy i niezakłócony sposób</w:t>
      </w:r>
      <w:r>
        <w:rPr>
          <w:rStyle w:val="FootnoteReference"/>
          <w:rFonts w:ascii="Times New Roman" w:hAnsi="Times New Roman" w:cs="Times New Roman"/>
          <w:sz w:val="24"/>
          <w:szCs w:val="24"/>
          <w:u w:val="single"/>
        </w:rPr>
        <w:footnoteReference w:id="27"/>
      </w:r>
      <w:r w:rsidRPr="009C0834">
        <w:rPr>
          <w:rFonts w:ascii="Times New Roman" w:hAnsi="Times New Roman" w:cs="Times New Roman"/>
          <w:sz w:val="24"/>
          <w:szCs w:val="24"/>
          <w:u w:val="single"/>
          <w:lang w:val="pl-PL"/>
        </w:rPr>
        <w:t>. Faktem jest, że tłum zmierzający do miejsca zgromadzenia w przestrzeni publicznej lub je opuszczający może powodować pewnego rodzaju niedogodności społeczne, w szczególności pewne utrudnienia w ruchu. Niedogodnościami tymi powinna odpowiednio zająć się policja</w:t>
      </w:r>
      <w:r>
        <w:rPr>
          <w:rStyle w:val="FootnoteReference"/>
          <w:rFonts w:ascii="Times New Roman" w:hAnsi="Times New Roman" w:cs="Times New Roman"/>
          <w:sz w:val="24"/>
          <w:szCs w:val="24"/>
          <w:u w:val="single"/>
        </w:rPr>
        <w:footnoteReference w:id="28"/>
      </w:r>
      <w:r w:rsidRPr="009C0834">
        <w:rPr>
          <w:rFonts w:ascii="Times New Roman" w:hAnsi="Times New Roman" w:cs="Times New Roman"/>
          <w:sz w:val="24"/>
          <w:szCs w:val="24"/>
          <w:u w:val="single"/>
          <w:lang w:val="pl-PL"/>
        </w:rPr>
        <w:t>. Jednak sama wolność zgromadz</w:t>
      </w:r>
      <w:r>
        <w:rPr>
          <w:rFonts w:ascii="Times New Roman" w:hAnsi="Times New Roman" w:cs="Times New Roman"/>
          <w:sz w:val="24"/>
          <w:szCs w:val="24"/>
          <w:u w:val="single"/>
          <w:lang w:val="pl-PL"/>
        </w:rPr>
        <w:t>e</w:t>
      </w:r>
      <w:r w:rsidRPr="009C0834">
        <w:rPr>
          <w:rFonts w:ascii="Times New Roman" w:hAnsi="Times New Roman" w:cs="Times New Roman"/>
          <w:sz w:val="24"/>
          <w:szCs w:val="24"/>
          <w:u w:val="single"/>
          <w:lang w:val="pl-PL"/>
        </w:rPr>
        <w:t>nia się może zgodnie z art. 11 § 2 Konwencji zostać ograniczona poprzez wstrzymanie, kontrolę lub zatrzymanie demonstrantów tylko wtedy, gdy istnieje „oczywiste i prawdopodobne zagrożenie” zakłócenia porządku publicznego, popełnienia przestępstwa lub innego naruszenia praw innych osób przez osoby znajdujące się w drodze do miejsca zgromadzenia lub z niego wracające</w:t>
      </w:r>
      <w:r>
        <w:rPr>
          <w:rStyle w:val="FootnoteReference"/>
          <w:rFonts w:ascii="Times New Roman" w:hAnsi="Times New Roman" w:cs="Times New Roman"/>
          <w:sz w:val="24"/>
          <w:szCs w:val="24"/>
          <w:u w:val="single"/>
        </w:rPr>
        <w:footnoteReference w:id="29"/>
      </w:r>
      <w:r w:rsidRPr="009C0834">
        <w:rPr>
          <w:rFonts w:ascii="Times New Roman" w:hAnsi="Times New Roman" w:cs="Times New Roman"/>
          <w:i/>
          <w:iCs/>
          <w:sz w:val="24"/>
          <w:szCs w:val="24"/>
          <w:u w:val="single"/>
          <w:lang w:val="pl-PL"/>
        </w:rPr>
        <w:t>.</w:t>
      </w:r>
    </w:p>
    <w:p w:rsidR="00A52C5C" w:rsidRPr="00B025B2" w:rsidRDefault="00A52C5C" w:rsidP="00320267">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 xml:space="preserve">13. </w:t>
      </w:r>
      <w:r>
        <w:rPr>
          <w:rFonts w:ascii="Times New Roman" w:hAnsi="Times New Roman" w:cs="Times New Roman"/>
          <w:sz w:val="24"/>
          <w:szCs w:val="24"/>
          <w:lang w:val="pl-PL"/>
        </w:rPr>
        <w:t>W obecnej sprawie</w:t>
      </w:r>
      <w:r w:rsidRPr="009C0834">
        <w:rPr>
          <w:rFonts w:ascii="Times New Roman" w:hAnsi="Times New Roman" w:cs="Times New Roman"/>
          <w:sz w:val="24"/>
          <w:szCs w:val="24"/>
          <w:lang w:val="pl-PL"/>
        </w:rPr>
        <w:t xml:space="preserve"> bez względu na fakt, że pewne osoby mogły wykrzykiwać hasła polityczne lub iść ulicą, co nie zostało ustalone, skarżący ani osoby opuszczające Chistyye Prudy w Moskwie nie dopuścili się aktów agresji czy aktów podżegania do agresji. W rzeczywistości nie można znaleźć najmniejszego dowodu w aktach sprawy świadczącego o „oczywistym i prawdopodobnym zagrożeniu” zakłócenia porządku publicznego, popełnienia przestępstwa lub innego naruszenia praw innych osób, a w szczególności </w:t>
      </w:r>
      <w:r>
        <w:rPr>
          <w:rFonts w:ascii="Times New Roman" w:hAnsi="Times New Roman" w:cs="Times New Roman"/>
          <w:sz w:val="24"/>
          <w:szCs w:val="24"/>
          <w:lang w:val="pl-PL"/>
        </w:rPr>
        <w:t>przemocą wobec innych lub zniszczeniem</w:t>
      </w:r>
      <w:r w:rsidRPr="009C0834">
        <w:rPr>
          <w:rFonts w:ascii="Times New Roman" w:hAnsi="Times New Roman" w:cs="Times New Roman"/>
          <w:sz w:val="24"/>
          <w:szCs w:val="24"/>
          <w:lang w:val="pl-PL"/>
        </w:rPr>
        <w:t xml:space="preserve"> własności innych</w:t>
      </w:r>
      <w:r>
        <w:rPr>
          <w:rFonts w:ascii="Times New Roman" w:hAnsi="Times New Roman" w:cs="Times New Roman"/>
          <w:sz w:val="24"/>
          <w:szCs w:val="24"/>
          <w:lang w:val="pl-PL"/>
        </w:rPr>
        <w:t xml:space="preserve"> osób</w:t>
      </w:r>
      <w:r w:rsidRPr="009C0834">
        <w:rPr>
          <w:rFonts w:ascii="Times New Roman" w:hAnsi="Times New Roman" w:cs="Times New Roman"/>
          <w:sz w:val="24"/>
          <w:szCs w:val="24"/>
          <w:lang w:val="pl-PL"/>
        </w:rPr>
        <w:t xml:space="preserve">, które mogłyby usprawiedliwiać przerwanie marszu i zatrzymanie skarżących, nie mówiąc o </w:t>
      </w:r>
      <w:r>
        <w:rPr>
          <w:rFonts w:ascii="Times New Roman" w:hAnsi="Times New Roman" w:cs="Times New Roman"/>
          <w:sz w:val="24"/>
          <w:szCs w:val="24"/>
          <w:lang w:val="pl-PL"/>
        </w:rPr>
        <w:t xml:space="preserve">pozbawieniu </w:t>
      </w:r>
      <w:r w:rsidRPr="009C0834">
        <w:rPr>
          <w:rFonts w:ascii="Times New Roman" w:hAnsi="Times New Roman" w:cs="Times New Roman"/>
          <w:sz w:val="24"/>
          <w:szCs w:val="24"/>
          <w:lang w:val="pl-PL"/>
        </w:rPr>
        <w:t xml:space="preserve">ich </w:t>
      </w:r>
      <w:r>
        <w:rPr>
          <w:rFonts w:ascii="Times New Roman" w:hAnsi="Times New Roman" w:cs="Times New Roman"/>
          <w:sz w:val="24"/>
          <w:szCs w:val="24"/>
          <w:lang w:val="pl-PL"/>
        </w:rPr>
        <w:t xml:space="preserve">wolności </w:t>
      </w:r>
      <w:r w:rsidRPr="009C0834">
        <w:rPr>
          <w:rFonts w:ascii="Times New Roman" w:hAnsi="Times New Roman" w:cs="Times New Roman"/>
          <w:sz w:val="24"/>
          <w:szCs w:val="24"/>
          <w:lang w:val="pl-PL"/>
        </w:rPr>
        <w:t>na noc czy nałożeniu na nich najwyższego wymiaru kary za wykroczenie administracyjne, mianowicie pozbawieni</w:t>
      </w:r>
      <w:r>
        <w:rPr>
          <w:rFonts w:ascii="Times New Roman" w:hAnsi="Times New Roman" w:cs="Times New Roman"/>
          <w:sz w:val="24"/>
          <w:szCs w:val="24"/>
          <w:lang w:val="pl-PL"/>
        </w:rPr>
        <w:t>a</w:t>
      </w:r>
      <w:r w:rsidRPr="009C0834">
        <w:rPr>
          <w:rFonts w:ascii="Times New Roman" w:hAnsi="Times New Roman" w:cs="Times New Roman"/>
          <w:sz w:val="24"/>
          <w:szCs w:val="24"/>
          <w:lang w:val="pl-PL"/>
        </w:rPr>
        <w:t xml:space="preserve"> wolności na okres 15 dni. Zamiast tego reakcja policji była ewidentnie przesadzona i tak arbitralna, że jej działania mogą być odczytywane wyłącznie jako mające na celu nękanie i zastraszenie skarżących</w:t>
      </w:r>
      <w:r>
        <w:rPr>
          <w:rStyle w:val="FootnoteReference"/>
          <w:rFonts w:ascii="Times New Roman" w:hAnsi="Times New Roman" w:cs="Times New Roman"/>
          <w:sz w:val="24"/>
          <w:szCs w:val="24"/>
        </w:rPr>
        <w:footnoteReference w:id="30"/>
      </w:r>
      <w:r w:rsidRPr="009C0834">
        <w:rPr>
          <w:rFonts w:ascii="Times New Roman" w:hAnsi="Times New Roman" w:cs="Times New Roman"/>
          <w:sz w:val="24"/>
          <w:szCs w:val="24"/>
          <w:lang w:val="pl-PL"/>
        </w:rPr>
        <w:t>. Niestety</w:t>
      </w:r>
      <w:r>
        <w:rPr>
          <w:rFonts w:ascii="Times New Roman" w:hAnsi="Times New Roman" w:cs="Times New Roman"/>
          <w:sz w:val="24"/>
          <w:szCs w:val="24"/>
          <w:lang w:val="pl-PL"/>
        </w:rPr>
        <w:t>,</w:t>
      </w:r>
      <w:r w:rsidRPr="009C0834">
        <w:rPr>
          <w:rFonts w:ascii="Times New Roman" w:hAnsi="Times New Roman" w:cs="Times New Roman"/>
          <w:sz w:val="24"/>
          <w:szCs w:val="24"/>
          <w:lang w:val="pl-PL"/>
        </w:rPr>
        <w:t xml:space="preserve"> sądy krajowe nie zapewniły skarżącym właściwej ścieżki prawnej pozwalającej na naprawienie niezgodnego z prawem postępowania policji i zadośćuczynienie za poniesione krzywdy.</w:t>
      </w:r>
    </w:p>
    <w:p w:rsidR="00A52C5C" w:rsidRPr="00B025B2" w:rsidRDefault="00A52C5C" w:rsidP="00A500BE">
      <w:pPr>
        <w:spacing w:after="0" w:line="240" w:lineRule="auto"/>
        <w:ind w:right="567"/>
        <w:jc w:val="both"/>
        <w:rPr>
          <w:sz w:val="16"/>
          <w:szCs w:val="16"/>
          <w:lang w:val="pl-PL"/>
        </w:rPr>
      </w:pPr>
    </w:p>
    <w:p w:rsidR="00A52C5C" w:rsidRPr="00B025B2" w:rsidRDefault="00A52C5C" w:rsidP="00A500BE">
      <w:pPr>
        <w:spacing w:after="0" w:line="240" w:lineRule="auto"/>
        <w:ind w:left="595" w:right="567"/>
        <w:jc w:val="both"/>
        <w:rPr>
          <w:rFonts w:ascii="Times New Roman" w:hAnsi="Times New Roman" w:cs="Times New Roman"/>
          <w:sz w:val="24"/>
          <w:szCs w:val="24"/>
          <w:lang w:val="pl-PL"/>
        </w:rPr>
      </w:pPr>
      <w:r w:rsidRPr="009C0834">
        <w:rPr>
          <w:rFonts w:ascii="Times New Roman" w:hAnsi="Times New Roman" w:cs="Times New Roman"/>
          <w:b/>
          <w:bCs/>
          <w:sz w:val="24"/>
          <w:szCs w:val="24"/>
          <w:lang w:val="pl-PL"/>
        </w:rPr>
        <w:t>Podsumowanie</w:t>
      </w:r>
    </w:p>
    <w:p w:rsidR="00A52C5C" w:rsidRPr="00B025B2" w:rsidRDefault="00A52C5C" w:rsidP="00A500BE">
      <w:pPr>
        <w:spacing w:after="0" w:line="240" w:lineRule="auto"/>
        <w:ind w:right="567"/>
        <w:jc w:val="both"/>
        <w:rPr>
          <w:lang w:val="pl-PL"/>
        </w:rPr>
      </w:pPr>
    </w:p>
    <w:p w:rsidR="00A52C5C" w:rsidRPr="00B025B2" w:rsidRDefault="00A52C5C" w:rsidP="00A12599">
      <w:pPr>
        <w:spacing w:after="0" w:line="240" w:lineRule="auto"/>
        <w:ind w:left="595" w:right="567" w:firstLine="285"/>
        <w:jc w:val="both"/>
        <w:rPr>
          <w:rFonts w:ascii="Times New Roman" w:hAnsi="Times New Roman" w:cs="Times New Roman"/>
          <w:sz w:val="24"/>
          <w:szCs w:val="24"/>
          <w:lang w:val="pl-PL"/>
        </w:rPr>
      </w:pPr>
      <w:r w:rsidRPr="009C0834">
        <w:rPr>
          <w:rFonts w:ascii="Times New Roman" w:hAnsi="Times New Roman" w:cs="Times New Roman"/>
          <w:sz w:val="24"/>
          <w:szCs w:val="24"/>
          <w:lang w:val="pl-PL"/>
        </w:rPr>
        <w:t>14. Wersja zdarzeń przedstawiona przez Rząd nie spełnia najbardziej elementarnych cech ciężaru dowodu i dlatego nie można na niej polegać. Na podstawie wersji skarżących można wyciągnąć oczywisty wniosek, że przysługująca skarżącym wolność zgromadz</w:t>
      </w:r>
      <w:r>
        <w:rPr>
          <w:rFonts w:ascii="Times New Roman" w:hAnsi="Times New Roman" w:cs="Times New Roman"/>
          <w:sz w:val="24"/>
          <w:szCs w:val="24"/>
          <w:lang w:val="pl-PL"/>
        </w:rPr>
        <w:t>e</w:t>
      </w:r>
      <w:r w:rsidRPr="009C0834">
        <w:rPr>
          <w:rFonts w:ascii="Times New Roman" w:hAnsi="Times New Roman" w:cs="Times New Roman"/>
          <w:sz w:val="24"/>
          <w:szCs w:val="24"/>
          <w:lang w:val="pl-PL"/>
        </w:rPr>
        <w:t>nia się została w rażący sposób naruszona poprzez arbitralne zatrzymanie w chwili opuszczania miejsca zgromadzenia w Chistyye Prudy w Moskwie.</w:t>
      </w:r>
      <w:r w:rsidRPr="00B025B2">
        <w:rPr>
          <w:sz w:val="20"/>
          <w:szCs w:val="20"/>
          <w:lang w:val="pl-PL"/>
        </w:rPr>
        <w:t xml:space="preserve"> </w:t>
      </w:r>
      <w:r w:rsidRPr="009C0834">
        <w:rPr>
          <w:rFonts w:ascii="Times New Roman" w:hAnsi="Times New Roman" w:cs="Times New Roman"/>
          <w:sz w:val="24"/>
          <w:szCs w:val="24"/>
          <w:lang w:val="pl-PL"/>
        </w:rPr>
        <w:t>Wydarzenia, które nastąpiły po ich zatrzymaniu, jeszcze umacniają przekonanie, że skarżący spotkali się z celową arbitralnością policji, którą potem zaakceptowały sądy</w:t>
      </w:r>
      <w:r w:rsidRPr="00A12599">
        <w:rPr>
          <w:rFonts w:ascii="Times New Roman" w:hAnsi="Times New Roman" w:cs="Times New Roman"/>
          <w:sz w:val="24"/>
          <w:szCs w:val="24"/>
          <w:lang w:val="pl-PL"/>
        </w:rPr>
        <w:t xml:space="preserve"> </w:t>
      </w:r>
      <w:r w:rsidRPr="009C0834">
        <w:rPr>
          <w:rFonts w:ascii="Times New Roman" w:hAnsi="Times New Roman" w:cs="Times New Roman"/>
          <w:sz w:val="24"/>
          <w:szCs w:val="24"/>
          <w:lang w:val="pl-PL"/>
        </w:rPr>
        <w:t>krajowe. Biorąc pod uwagę polityczny charakter przemówień skarżących, taka akceptacja ze strony wymiaru sprawiedliwości jest ogromną krzywdą dla demokracji, która może zbudować lub nasilić kulturę ciszy wśród opozycjonistów</w:t>
      </w:r>
      <w:r>
        <w:rPr>
          <w:rStyle w:val="FootnoteReference"/>
          <w:rFonts w:ascii="Times New Roman" w:hAnsi="Times New Roman" w:cs="Times New Roman"/>
          <w:sz w:val="24"/>
          <w:szCs w:val="24"/>
        </w:rPr>
        <w:footnoteReference w:id="31"/>
      </w:r>
      <w:r w:rsidRPr="009C0834">
        <w:rPr>
          <w:rFonts w:ascii="Times New Roman" w:hAnsi="Times New Roman" w:cs="Times New Roman"/>
          <w:sz w:val="24"/>
          <w:szCs w:val="24"/>
          <w:lang w:val="pl-PL"/>
        </w:rPr>
        <w:t>.</w:t>
      </w:r>
    </w:p>
    <w:sectPr w:rsidR="00A52C5C" w:rsidRPr="00B025B2" w:rsidSect="0023783A">
      <w:headerReference w:type="even" r:id="rId27"/>
      <w:headerReference w:type="default" r:id="rId28"/>
      <w:pgSz w:w="11907" w:h="16840" w:code="21"/>
      <w:pgMar w:top="1418" w:right="1418" w:bottom="1418" w:left="1418" w:header="158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5C" w:rsidRDefault="00A52C5C" w:rsidP="00922B63">
      <w:pPr>
        <w:spacing w:after="0" w:line="240" w:lineRule="auto"/>
      </w:pPr>
      <w:r>
        <w:separator/>
      </w:r>
    </w:p>
  </w:endnote>
  <w:endnote w:type="continuationSeparator" w:id="0">
    <w:p w:rsidR="00A52C5C" w:rsidRDefault="00A52C5C" w:rsidP="00922B63">
      <w:pPr>
        <w:spacing w:after="0" w:line="240" w:lineRule="auto"/>
      </w:pPr>
      <w:r>
        <w:continuationSeparator/>
      </w:r>
    </w:p>
  </w:endnote>
  <w:endnote w:type="continuationNotice" w:id="1">
    <w:p w:rsidR="00A52C5C" w:rsidRDefault="00A52C5C">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5C" w:rsidRDefault="00A52C5C" w:rsidP="00922B63">
      <w:pPr>
        <w:spacing w:after="0" w:line="240" w:lineRule="auto"/>
      </w:pPr>
      <w:r>
        <w:separator/>
      </w:r>
    </w:p>
  </w:footnote>
  <w:footnote w:type="continuationSeparator" w:id="0">
    <w:p w:rsidR="00A52C5C" w:rsidRDefault="00A52C5C" w:rsidP="00922B63">
      <w:pPr>
        <w:spacing w:after="0" w:line="240" w:lineRule="auto"/>
      </w:pPr>
      <w:r>
        <w:continuationSeparator/>
      </w:r>
    </w:p>
  </w:footnote>
  <w:footnote w:type="continuationNotice" w:id="1">
    <w:p w:rsidR="00A52C5C" w:rsidRDefault="00A52C5C">
      <w:pPr>
        <w:spacing w:after="0" w:line="240" w:lineRule="auto"/>
      </w:pPr>
    </w:p>
  </w:footnote>
  <w:footnote w:id="2">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 xml:space="preserve">Wraz z Sędzią Turković zwróciłem już uwagę na te standardy we wspólnej częściowo zgodnej, częściowo odrębnej opinii w sprawie </w:t>
      </w:r>
      <w:r w:rsidRPr="009C0834">
        <w:rPr>
          <w:rFonts w:ascii="Times New Roman" w:hAnsi="Times New Roman" w:cs="Times New Roman"/>
          <w:i/>
          <w:iCs/>
          <w:lang/>
        </w:rPr>
        <w:t>Primov i Inni</w:t>
      </w:r>
      <w:r w:rsidRPr="009C0834">
        <w:rPr>
          <w:rFonts w:ascii="Times New Roman" w:hAnsi="Times New Roman" w:cs="Times New Roman"/>
          <w:lang/>
        </w:rPr>
        <w:t>, skarga nr 17391/06, 12 czerwca 2014 r.</w:t>
      </w:r>
    </w:p>
  </w:footnote>
  <w:footnote w:id="3">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58 i 59 wyroku.</w:t>
      </w:r>
    </w:p>
  </w:footnote>
  <w:footnote w:id="4">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Wytyczne w sprawie wolności pokojowych zgromadzeń OBWE/BDiPCz oraz Komisji Weneckiej, 2010, wyd. II, wytyczna 2.1 oraz raport specjalnego sprawozdawcy ds. wolności pokojowego zgromadz</w:t>
      </w:r>
      <w:r>
        <w:rPr>
          <w:rFonts w:ascii="Times New Roman" w:hAnsi="Times New Roman" w:cs="Times New Roman"/>
          <w:lang/>
        </w:rPr>
        <w:t>e</w:t>
      </w:r>
      <w:r w:rsidRPr="009C0834">
        <w:rPr>
          <w:rFonts w:ascii="Times New Roman" w:hAnsi="Times New Roman" w:cs="Times New Roman"/>
          <w:lang/>
        </w:rPr>
        <w:t xml:space="preserve">nia się i </w:t>
      </w:r>
      <w:r>
        <w:rPr>
          <w:rFonts w:ascii="Times New Roman" w:hAnsi="Times New Roman" w:cs="Times New Roman"/>
          <w:lang/>
        </w:rPr>
        <w:t>zrzeszania</w:t>
      </w:r>
      <w:r w:rsidRPr="009C0834">
        <w:rPr>
          <w:rFonts w:ascii="Times New Roman" w:hAnsi="Times New Roman" w:cs="Times New Roman"/>
          <w:lang/>
        </w:rPr>
        <w:t xml:space="preserve"> się, 24 kwietnia 2013 r., A/HRC/23/39, paragraf 50, oraz raport tego samego sprawozdawcy, 21 maja 2012 r., A/HRC/20/27 paragraf 26.</w:t>
      </w:r>
    </w:p>
  </w:footnote>
  <w:footnote w:id="5">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 xml:space="preserve">Podobnie jak w sprawie </w:t>
      </w:r>
      <w:r w:rsidRPr="009C0834">
        <w:rPr>
          <w:rFonts w:ascii="Times New Roman" w:hAnsi="Times New Roman" w:cs="Times New Roman"/>
          <w:i/>
          <w:iCs/>
          <w:lang/>
        </w:rPr>
        <w:t xml:space="preserve">Chrześcijańsko-Demokratyczna Partia Ludowa przeciwko Mołdawii (nr 2), </w:t>
      </w:r>
      <w:r w:rsidRPr="009C0834">
        <w:rPr>
          <w:rFonts w:ascii="Times New Roman" w:hAnsi="Times New Roman" w:cs="Times New Roman"/>
          <w:lang/>
        </w:rPr>
        <w:t>skarga nr 25196/04, § 38, 2 lutego 2010 r. rozpatrywanej przez Trybunał, stanowisko to przyjęto w Wytycznych w sprawie wolności pokojowego zgromadz</w:t>
      </w:r>
      <w:r>
        <w:rPr>
          <w:rFonts w:ascii="Times New Roman" w:hAnsi="Times New Roman" w:cs="Times New Roman"/>
          <w:lang/>
        </w:rPr>
        <w:t>e</w:t>
      </w:r>
      <w:r w:rsidRPr="009C0834">
        <w:rPr>
          <w:rFonts w:ascii="Times New Roman" w:hAnsi="Times New Roman" w:cs="Times New Roman"/>
          <w:lang/>
        </w:rPr>
        <w:t>nia się OBWE/BDiPCz oraz Komisji Weneckiej, op. cit., paragraf 135 i 138; Wspólnej opinii w sprawie projektu ustawy o pokojowych zgromadzeniach Republiki Kirgiskiej OBWE/BDiPCz oraz Komisji Weneckiej, paragraf 8, P (CDL-AD(2010)050); Wspólnej opinii w sprawie ustawy o zgromadzeniach publicznych Serbii OBWE/BDiPCz oraz Komisji Weneckiej paragraf 53 (CDL-AD(2010)031); oraz Wspólnej opinii w sprawie ustawy o imprezach masowych w Republice Białorusi OBWE/BDiPCz oraz Komisji Weneckiej (CDL-AD (2012)006 ), paragraf 109.</w:t>
      </w:r>
    </w:p>
  </w:footnote>
  <w:footnote w:id="6">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13, 15 i 17 wyroku.</w:t>
      </w:r>
    </w:p>
  </w:footnote>
  <w:footnote w:id="7">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33 wyroku.</w:t>
      </w:r>
    </w:p>
  </w:footnote>
  <w:footnote w:id="8">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32 wyroku.</w:t>
      </w:r>
    </w:p>
  </w:footnote>
  <w:footnote w:id="9">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36 wyroku.</w:t>
      </w:r>
    </w:p>
  </w:footnote>
  <w:footnote w:id="10">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33 wyroku.</w:t>
      </w:r>
    </w:p>
  </w:footnote>
  <w:footnote w:id="11">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83 wyroku.</w:t>
      </w:r>
    </w:p>
  </w:footnote>
  <w:footnote w:id="12">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19, 97 i 112 wyroku.</w:t>
      </w:r>
    </w:p>
  </w:footnote>
  <w:footnote w:id="13">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 xml:space="preserve">Tak jak w sprawie </w:t>
      </w:r>
      <w:r w:rsidRPr="009C0834">
        <w:rPr>
          <w:rFonts w:ascii="Times New Roman" w:hAnsi="Times New Roman" w:cs="Times New Roman"/>
          <w:i/>
          <w:iCs/>
          <w:lang/>
        </w:rPr>
        <w:t>Nemtsov [Niemcow] przeciwko Rosji</w:t>
      </w:r>
      <w:r w:rsidRPr="009C0834">
        <w:rPr>
          <w:rFonts w:ascii="Times New Roman" w:hAnsi="Times New Roman" w:cs="Times New Roman"/>
          <w:lang/>
        </w:rPr>
        <w:t xml:space="preserve">, skarga nr 1774/11, § 71, 31 lipca 2014 r., Izba powinna uznać, że </w:t>
      </w:r>
      <w:r>
        <w:rPr>
          <w:rFonts w:ascii="Times New Roman" w:hAnsi="Times New Roman" w:cs="Times New Roman"/>
          <w:lang/>
        </w:rPr>
        <w:t>w obecnej sprawie</w:t>
      </w:r>
      <w:r w:rsidRPr="009C0834">
        <w:rPr>
          <w:rFonts w:ascii="Times New Roman" w:hAnsi="Times New Roman" w:cs="Times New Roman"/>
          <w:lang/>
        </w:rPr>
        <w:t xml:space="preserve"> istnieją przekonujące </w:t>
      </w:r>
      <w:r w:rsidRPr="00571E6E">
        <w:rPr>
          <w:rFonts w:ascii="Times New Roman" w:hAnsi="Times New Roman" w:cs="Times New Roman"/>
          <w:lang/>
        </w:rPr>
        <w:t>przesłanki powodujące wątpliwości co do wiarygodności oficjalnego powodu zatrzymania skarżącego, jego aresztowania oraz</w:t>
      </w:r>
      <w:r w:rsidRPr="009C0834">
        <w:rPr>
          <w:rFonts w:ascii="Times New Roman" w:hAnsi="Times New Roman" w:cs="Times New Roman"/>
          <w:lang/>
        </w:rPr>
        <w:t xml:space="preserve"> zarzutów administracyjnych. Podobnie jak w sprawie </w:t>
      </w:r>
      <w:r w:rsidRPr="009C0834">
        <w:rPr>
          <w:rFonts w:ascii="Times New Roman" w:hAnsi="Times New Roman" w:cs="Times New Roman"/>
          <w:i/>
          <w:iCs/>
          <w:lang/>
        </w:rPr>
        <w:t>Nemtsov [Niemcow]</w:t>
      </w:r>
      <w:r w:rsidRPr="009C0834">
        <w:rPr>
          <w:rFonts w:ascii="Times New Roman" w:hAnsi="Times New Roman" w:cs="Times New Roman"/>
          <w:lang/>
        </w:rPr>
        <w:t>, powinna była z należytą uwagą zapoznać się z zeznaniami dwóch policjantów dokonujących zatrzymania oraz sporządzonymi przez nich raportami, ale nie nadawać im żadnej wartości dowodowej.</w:t>
      </w:r>
    </w:p>
  </w:footnote>
  <w:footnote w:id="14">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Co najważniejsze to Rząd miał obowiązek udowodnić zaistniały fakt wydania polecenia skarżącym przez policję, a nie skarżący udowodnić, że nie doszło (</w:t>
      </w:r>
      <w:r w:rsidRPr="009C0834">
        <w:rPr>
          <w:rFonts w:ascii="Times New Roman" w:hAnsi="Times New Roman" w:cs="Times New Roman"/>
          <w:i/>
          <w:iCs/>
          <w:lang/>
        </w:rPr>
        <w:t>probatio diabolica</w:t>
      </w:r>
      <w:r w:rsidRPr="009C0834">
        <w:rPr>
          <w:rFonts w:ascii="Times New Roman" w:hAnsi="Times New Roman" w:cs="Times New Roman"/>
          <w:lang/>
        </w:rPr>
        <w:t>!) do wydania polecenia przez policję. Ta druga interpretacja, zasugerowana przez Rząd i nieodrzucona przez Izbę, nakładałaby przesadny ciężar na skarżących.</w:t>
      </w:r>
    </w:p>
  </w:footnote>
  <w:footnote w:id="15">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 xml:space="preserve">Jak Trybunał stwierdził w sprawie </w:t>
      </w:r>
      <w:r w:rsidRPr="009C0834">
        <w:rPr>
          <w:rFonts w:ascii="Times New Roman" w:hAnsi="Times New Roman" w:cs="Times New Roman"/>
          <w:i/>
          <w:iCs/>
          <w:lang/>
        </w:rPr>
        <w:t>Nemtsov</w:t>
      </w:r>
      <w:r w:rsidRPr="009C0834">
        <w:rPr>
          <w:rFonts w:ascii="Times New Roman" w:hAnsi="Times New Roman" w:cs="Times New Roman"/>
          <w:lang/>
        </w:rPr>
        <w:t>, op. cit., § 76.</w:t>
      </w:r>
    </w:p>
  </w:footnote>
  <w:footnote w:id="16">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56 i 65 wyroku.</w:t>
      </w:r>
    </w:p>
  </w:footnote>
  <w:footnote w:id="17">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r>
      <w:r w:rsidRPr="009C0834">
        <w:rPr>
          <w:rFonts w:ascii="Times New Roman" w:hAnsi="Times New Roman" w:cs="Times New Roman"/>
          <w:i/>
          <w:iCs/>
          <w:lang/>
        </w:rPr>
        <w:t>Tatár i Fáber przeciwko Węgrom</w:t>
      </w:r>
      <w:r w:rsidRPr="009C0834">
        <w:rPr>
          <w:rFonts w:ascii="Times New Roman" w:hAnsi="Times New Roman" w:cs="Times New Roman"/>
          <w:lang/>
        </w:rPr>
        <w:t>, skarga nr 26005/08 i 26160/08, § 38, 12 czerwca 2012 r.</w:t>
      </w:r>
    </w:p>
  </w:footnote>
  <w:footnote w:id="18">
    <w:p w:rsidR="00A52C5C" w:rsidRDefault="00A52C5C" w:rsidP="00320267">
      <w:pPr>
        <w:spacing w:after="0" w:line="240" w:lineRule="auto"/>
        <w:ind w:left="284" w:hanging="284"/>
        <w:jc w:val="both"/>
      </w:pPr>
      <w:r>
        <w:rPr>
          <w:rStyle w:val="FootnoteReference"/>
          <w:rFonts w:ascii="Times New Roman" w:hAnsi="Times New Roman" w:cs="Times New Roman"/>
          <w:sz w:val="20"/>
          <w:szCs w:val="20"/>
        </w:rPr>
        <w:footnoteRef/>
      </w:r>
      <w:r w:rsidRPr="009C0834">
        <w:rPr>
          <w:rFonts w:ascii="Times New Roman" w:hAnsi="Times New Roman" w:cs="Times New Roman"/>
          <w:sz w:val="20"/>
          <w:szCs w:val="20"/>
          <w:lang w:val="pl-PL"/>
        </w:rPr>
        <w:tab/>
      </w:r>
      <w:r w:rsidRPr="009C0834">
        <w:rPr>
          <w:rFonts w:ascii="Times New Roman" w:hAnsi="Times New Roman" w:cs="Times New Roman"/>
          <w:i/>
          <w:iCs/>
          <w:sz w:val="20"/>
          <w:szCs w:val="20"/>
          <w:lang w:val="pl-PL"/>
        </w:rPr>
        <w:t>Partia Wolności i Demokracji (ÖZDEP) przeciwko Turcji (Wielka Izba)</w:t>
      </w:r>
      <w:r w:rsidRPr="009C0834">
        <w:rPr>
          <w:rFonts w:ascii="Times New Roman" w:hAnsi="Times New Roman" w:cs="Times New Roman"/>
          <w:sz w:val="20"/>
          <w:szCs w:val="20"/>
          <w:lang w:val="pl-PL"/>
        </w:rPr>
        <w:t>, Reports, 1999-VIII, § 37, 8 grudnia 1999 r.</w:t>
      </w:r>
    </w:p>
  </w:footnote>
  <w:footnote w:id="19">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Raport specjalnego sprawozdawcy ds. wolności pokojowego zgromadz</w:t>
      </w:r>
      <w:r>
        <w:rPr>
          <w:rFonts w:ascii="Times New Roman" w:hAnsi="Times New Roman" w:cs="Times New Roman"/>
          <w:lang/>
        </w:rPr>
        <w:t>e</w:t>
      </w:r>
      <w:r w:rsidRPr="009C0834">
        <w:rPr>
          <w:rFonts w:ascii="Times New Roman" w:hAnsi="Times New Roman" w:cs="Times New Roman"/>
          <w:lang/>
        </w:rPr>
        <w:t>nia się i zrzeszania się, 21 maja 2012 r., A/HRC/20/27, paragraf 26</w:t>
      </w:r>
    </w:p>
  </w:footnote>
  <w:footnote w:id="20">
    <w:p w:rsidR="00A52C5C" w:rsidRDefault="00A52C5C" w:rsidP="00320267">
      <w:pPr>
        <w:spacing w:after="0" w:line="240" w:lineRule="auto"/>
        <w:ind w:left="284" w:hanging="284"/>
        <w:jc w:val="both"/>
      </w:pPr>
      <w:r>
        <w:rPr>
          <w:rStyle w:val="FootnoteReference"/>
          <w:rFonts w:ascii="Times New Roman" w:hAnsi="Times New Roman" w:cs="Times New Roman"/>
          <w:sz w:val="20"/>
          <w:szCs w:val="20"/>
        </w:rPr>
        <w:footnoteRef/>
      </w:r>
      <w:r w:rsidRPr="009C0834">
        <w:rPr>
          <w:rFonts w:ascii="Times New Roman" w:hAnsi="Times New Roman" w:cs="Times New Roman"/>
          <w:sz w:val="20"/>
          <w:szCs w:val="20"/>
          <w:lang w:val="pl-PL"/>
        </w:rPr>
        <w:tab/>
        <w:t xml:space="preserve">We wspólnej odrębnej opinii Sędziów Turković, Dedov i Pinto de Albuquerque dołączonej do </w:t>
      </w:r>
      <w:r w:rsidRPr="009C0834">
        <w:rPr>
          <w:rFonts w:ascii="Times New Roman" w:hAnsi="Times New Roman" w:cs="Times New Roman"/>
          <w:i/>
          <w:iCs/>
          <w:sz w:val="20"/>
          <w:szCs w:val="20"/>
          <w:lang w:val="pl-PL"/>
        </w:rPr>
        <w:t>Taranenko przeciwko Rosji,</w:t>
      </w:r>
      <w:r w:rsidRPr="009C0834">
        <w:rPr>
          <w:rFonts w:ascii="Times New Roman" w:hAnsi="Times New Roman" w:cs="Times New Roman"/>
          <w:sz w:val="20"/>
          <w:szCs w:val="20"/>
          <w:lang w:val="pl-PL"/>
        </w:rPr>
        <w:t xml:space="preserve"> skarga nr 19554/05, 15 maja 2014 r. wskazaliśmy już znaczenie uwzględnienia celów demonstrantów w celu zastosowania gwarancji przewidzianych w art. 11. </w:t>
      </w:r>
      <w:r w:rsidRPr="00D563BB">
        <w:rPr>
          <w:rFonts w:ascii="Times New Roman" w:hAnsi="Times New Roman" w:cs="Times New Roman"/>
          <w:sz w:val="20"/>
          <w:szCs w:val="20"/>
          <w:lang w:val="pl-PL"/>
        </w:rPr>
        <w:t xml:space="preserve">Akademicy podzielają ten pogląd, zarówno na podstawie Konwencji, jak i Międzynarodowym pakcie praw obywatelskich i politycznych ONZ (zob. np., Grabenwarter, </w:t>
      </w:r>
      <w:r w:rsidRPr="00D563BB">
        <w:rPr>
          <w:rFonts w:ascii="Times New Roman" w:hAnsi="Times New Roman" w:cs="Times New Roman"/>
          <w:i/>
          <w:iCs/>
          <w:sz w:val="20"/>
          <w:szCs w:val="20"/>
          <w:lang w:val="pl-PL"/>
        </w:rPr>
        <w:t>European Convention on Human Rights Commentary</w:t>
      </w:r>
      <w:r w:rsidRPr="00D563BB">
        <w:rPr>
          <w:rFonts w:ascii="Times New Roman" w:hAnsi="Times New Roman" w:cs="Times New Roman"/>
          <w:sz w:val="20"/>
          <w:szCs w:val="20"/>
          <w:lang w:val="pl-PL"/>
        </w:rPr>
        <w:t xml:space="preserve">, Monachium, Beck, 2014, s. 300; Joseph, Castan, </w:t>
      </w:r>
      <w:r w:rsidRPr="00D563BB">
        <w:rPr>
          <w:rFonts w:ascii="Times New Roman" w:hAnsi="Times New Roman" w:cs="Times New Roman"/>
          <w:i/>
          <w:iCs/>
          <w:sz w:val="20"/>
          <w:szCs w:val="20"/>
          <w:lang w:val="pl-PL"/>
        </w:rPr>
        <w:t>United Nations Covenant on Civil and Political Rights, Cases, Materials and Commentary</w:t>
      </w:r>
      <w:r w:rsidRPr="00D563BB">
        <w:rPr>
          <w:rFonts w:ascii="Times New Roman" w:hAnsi="Times New Roman" w:cs="Times New Roman"/>
          <w:sz w:val="20"/>
          <w:szCs w:val="20"/>
          <w:lang w:val="pl-PL"/>
        </w:rPr>
        <w:t xml:space="preserve">, wydanie III, Oksford, Oxford University Press, 2013, s. 646; Frowein, Peukert, </w:t>
      </w:r>
      <w:r w:rsidRPr="00D563BB">
        <w:rPr>
          <w:rFonts w:ascii="Times New Roman" w:hAnsi="Times New Roman" w:cs="Times New Roman"/>
          <w:i/>
          <w:iCs/>
          <w:sz w:val="20"/>
          <w:szCs w:val="20"/>
          <w:lang w:val="pl-PL"/>
        </w:rPr>
        <w:t>Europäische Menschenrechtskonvention Kommentar</w:t>
      </w:r>
      <w:r w:rsidRPr="00D563BB">
        <w:rPr>
          <w:rFonts w:ascii="Times New Roman" w:hAnsi="Times New Roman" w:cs="Times New Roman"/>
          <w:sz w:val="20"/>
          <w:szCs w:val="20"/>
          <w:lang w:val="pl-PL"/>
        </w:rPr>
        <w:t xml:space="preserve">, 3 Auflage, Kehl, Engel Verlag, 2009, s. 374; Renucci, </w:t>
      </w:r>
      <w:r w:rsidRPr="00D563BB">
        <w:rPr>
          <w:rFonts w:ascii="Times New Roman" w:hAnsi="Times New Roman" w:cs="Times New Roman"/>
          <w:i/>
          <w:iCs/>
          <w:sz w:val="20"/>
          <w:szCs w:val="20"/>
          <w:lang w:val="pl-PL"/>
        </w:rPr>
        <w:t>Traité de droit européeen des droits de l’homme</w:t>
      </w:r>
      <w:r w:rsidRPr="00D563BB">
        <w:rPr>
          <w:rFonts w:ascii="Times New Roman" w:hAnsi="Times New Roman" w:cs="Times New Roman"/>
          <w:sz w:val="20"/>
          <w:szCs w:val="20"/>
          <w:lang w:val="pl-PL"/>
        </w:rPr>
        <w:t xml:space="preserve">, Paryż, LGDJ, 2007, s. 272; oraz Novak, </w:t>
      </w:r>
      <w:r w:rsidRPr="00D563BB">
        <w:rPr>
          <w:rFonts w:ascii="Times New Roman" w:hAnsi="Times New Roman" w:cs="Times New Roman"/>
          <w:i/>
          <w:iCs/>
          <w:sz w:val="20"/>
          <w:szCs w:val="20"/>
          <w:lang w:val="pl-PL"/>
        </w:rPr>
        <w:t>United Nations Covenant on Civil and Political Rights Commentary</w:t>
      </w:r>
      <w:r w:rsidRPr="00D563BB">
        <w:rPr>
          <w:rFonts w:ascii="Times New Roman" w:hAnsi="Times New Roman" w:cs="Times New Roman"/>
          <w:sz w:val="20"/>
          <w:szCs w:val="20"/>
          <w:lang w:val="pl-PL"/>
        </w:rPr>
        <w:t xml:space="preserve">, Kehl, Engel Verlag, wyd. </w:t>
      </w:r>
      <w:r w:rsidRPr="00D563BB">
        <w:rPr>
          <w:rFonts w:ascii="Times New Roman" w:hAnsi="Times New Roman" w:cs="Times New Roman"/>
          <w:sz w:val="20"/>
          <w:szCs w:val="20"/>
          <w:lang w:val="fr-BE"/>
        </w:rPr>
        <w:t xml:space="preserve">II, 2005, s. 485; oraz z jeszcze szerszej perspektywy, Mylène Bidault, Commentaire de l’article 21, [w:] Emmanuel Decaux (dir.), </w:t>
      </w:r>
      <w:r w:rsidRPr="00D563BB">
        <w:rPr>
          <w:rFonts w:ascii="Times New Roman" w:hAnsi="Times New Roman" w:cs="Times New Roman"/>
          <w:i/>
          <w:iCs/>
          <w:sz w:val="20"/>
          <w:szCs w:val="20"/>
          <w:lang w:val="fr-BE"/>
        </w:rPr>
        <w:t>Le Pacte International relative aux Droits Civils et Politiques, Commentaire article par article</w:t>
      </w:r>
      <w:r w:rsidRPr="00D563BB">
        <w:rPr>
          <w:rFonts w:ascii="Times New Roman" w:hAnsi="Times New Roman" w:cs="Times New Roman"/>
          <w:sz w:val="20"/>
          <w:szCs w:val="20"/>
          <w:lang w:val="fr-BE"/>
        </w:rPr>
        <w:t>, Paryż, Economica, 2011, s. 472-473).</w:t>
      </w:r>
    </w:p>
  </w:footnote>
  <w:footnote w:id="21">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Wspólna opinia w sprawie projektu ustawy zmieniającej i uzupełniającej ustawę o przeprowadzaniu spotkań, zgromadzeń, wieców i demonstracji Republiki Armenii OBWE/BDiPCz oraz Komisji Weneckiej, paragraf 17 (CDL-AD(2008)020).</w:t>
      </w:r>
    </w:p>
  </w:footnote>
  <w:footnote w:id="22">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Wspólna opinia w sprawie projektu ustawy o zgromadzeniach Republiki Kirgiskiej OBWE/BDiPCz oraz Komisji Weneckiej, paragraf 39 (CDL-AD(2009)034).</w:t>
      </w:r>
    </w:p>
  </w:footnote>
  <w:footnote w:id="23">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Raporty specjalnego sprawozdawcy z dnia 7 sierpnia 2013 r., A/68/299, paragraf 24, oraz z dnia 21 maja 2012 r., A/HRC/20/27, paragraf 29.</w:t>
      </w:r>
    </w:p>
  </w:footnote>
  <w:footnote w:id="24">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r>
      <w:r w:rsidRPr="009C0834">
        <w:rPr>
          <w:rFonts w:ascii="Times New Roman" w:hAnsi="Times New Roman" w:cs="Times New Roman"/>
          <w:i/>
          <w:iCs/>
          <w:lang/>
        </w:rPr>
        <w:t>Bukta i Inni przeciwko Węgrom</w:t>
      </w:r>
      <w:r w:rsidRPr="009C0834">
        <w:rPr>
          <w:rFonts w:ascii="Times New Roman" w:hAnsi="Times New Roman" w:cs="Times New Roman"/>
          <w:lang/>
        </w:rPr>
        <w:t>, nr 25691/04, § 36, 17 lipca 2007 r.</w:t>
      </w:r>
    </w:p>
  </w:footnote>
  <w:footnote w:id="25">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56 wyroku.</w:t>
      </w:r>
    </w:p>
  </w:footnote>
  <w:footnote w:id="26">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paragraf 62 wyroku.</w:t>
      </w:r>
    </w:p>
  </w:footnote>
  <w:footnote w:id="27">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r>
      <w:r w:rsidRPr="009C0834">
        <w:rPr>
          <w:rFonts w:ascii="Times New Roman" w:hAnsi="Times New Roman" w:cs="Times New Roman"/>
          <w:i/>
          <w:iCs/>
          <w:lang/>
        </w:rPr>
        <w:t>Nisbet Özdemir przeciwko Turcji</w:t>
      </w:r>
      <w:r w:rsidRPr="009C0834">
        <w:rPr>
          <w:rFonts w:ascii="Times New Roman" w:hAnsi="Times New Roman" w:cs="Times New Roman"/>
          <w:lang/>
        </w:rPr>
        <w:t>, skarga nr 23143/04, § 40, 19 stycznia 2010 r.</w:t>
      </w:r>
    </w:p>
  </w:footnote>
  <w:footnote w:id="28">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r>
      <w:r w:rsidRPr="009C0834">
        <w:rPr>
          <w:rFonts w:ascii="Times New Roman" w:hAnsi="Times New Roman" w:cs="Times New Roman"/>
          <w:i/>
          <w:iCs/>
          <w:lang/>
        </w:rPr>
        <w:t>Balçik i Inni przeciwko Turcji</w:t>
      </w:r>
      <w:r w:rsidRPr="009C0834">
        <w:rPr>
          <w:rFonts w:ascii="Times New Roman" w:hAnsi="Times New Roman" w:cs="Times New Roman"/>
          <w:lang/>
        </w:rPr>
        <w:t xml:space="preserve">, skarga nr. 25/02, §§ 50-52, 29 listopada 2007 r., oraz </w:t>
      </w:r>
      <w:r w:rsidRPr="009C0834">
        <w:rPr>
          <w:rFonts w:ascii="Times New Roman" w:hAnsi="Times New Roman" w:cs="Times New Roman"/>
          <w:i/>
          <w:iCs/>
          <w:lang/>
        </w:rPr>
        <w:t>Ashughyan przeciwko Armenii</w:t>
      </w:r>
      <w:r w:rsidRPr="009C0834">
        <w:rPr>
          <w:rFonts w:ascii="Times New Roman" w:hAnsi="Times New Roman" w:cs="Times New Roman"/>
          <w:lang/>
        </w:rPr>
        <w:t>, skarga nr 33268/03, § 90, 17 lipca 2008 r.: “Demonstracja w miejscu publicznym może spowodować pewne zakłócenia życia</w:t>
      </w:r>
      <w:r w:rsidRPr="00691963">
        <w:rPr>
          <w:rFonts w:ascii="Times New Roman" w:hAnsi="Times New Roman" w:cs="Times New Roman"/>
          <w:lang/>
        </w:rPr>
        <w:t xml:space="preserve"> </w:t>
      </w:r>
      <w:r w:rsidRPr="009C0834">
        <w:rPr>
          <w:rFonts w:ascii="Times New Roman" w:hAnsi="Times New Roman" w:cs="Times New Roman"/>
          <w:lang/>
        </w:rPr>
        <w:t xml:space="preserve">codziennego, w tym utrudnienia ruchu, i o ile demonstranci nie dopuszczają się aktów </w:t>
      </w:r>
      <w:r>
        <w:rPr>
          <w:rFonts w:ascii="Times New Roman" w:hAnsi="Times New Roman" w:cs="Times New Roman"/>
          <w:lang/>
        </w:rPr>
        <w:t>przemocy</w:t>
      </w:r>
      <w:r w:rsidRPr="009C0834">
        <w:rPr>
          <w:rFonts w:ascii="Times New Roman" w:hAnsi="Times New Roman" w:cs="Times New Roman"/>
          <w:lang/>
        </w:rPr>
        <w:t>, ważne jest, aby władze publiczne wykazywały pewien stopień tolerancji wobec pokojowych zgromadzeń, jeżeli wolność zgromadz</w:t>
      </w:r>
      <w:r>
        <w:rPr>
          <w:rFonts w:ascii="Times New Roman" w:hAnsi="Times New Roman" w:cs="Times New Roman"/>
          <w:lang/>
        </w:rPr>
        <w:t>e</w:t>
      </w:r>
      <w:r w:rsidRPr="009C0834">
        <w:rPr>
          <w:rFonts w:ascii="Times New Roman" w:hAnsi="Times New Roman" w:cs="Times New Roman"/>
          <w:lang/>
        </w:rPr>
        <w:t>nia się zagwarantowana w art. 11 EKPC ma nie zostać pozbawiona całej swojej istoty”</w:t>
      </w:r>
    </w:p>
  </w:footnote>
  <w:footnote w:id="29">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Zob. Wytyczne OBWE/BDiPCz oraz Komisji Weneckiej, 2010, op. cit., wytyczna 3.3 i paragrafy 72, 95, 98, 154 (test w przypadku wstrzymania, kontroli i zatrzymania demonstrantów w drodze na zgromadzenie) oraz 166 (test w przypadku rozproszenia) noty wyjaśniającej; Wytyczn</w:t>
      </w:r>
      <w:r>
        <w:rPr>
          <w:rFonts w:ascii="Times New Roman" w:hAnsi="Times New Roman" w:cs="Times New Roman"/>
          <w:lang/>
        </w:rPr>
        <w:t>e</w:t>
      </w:r>
      <w:r w:rsidRPr="009C0834">
        <w:rPr>
          <w:rFonts w:ascii="Times New Roman" w:hAnsi="Times New Roman" w:cs="Times New Roman"/>
          <w:lang/>
        </w:rPr>
        <w:t xml:space="preserve"> w sprawie wolności pokojowych zgromadzeń OBWE/BDiPCz oraz Komisji Weneckiej, 2008, paragrafy 63 oraz 86-90 not interpretacyjnych; Opinia Komisji Weneckiej w sprawie federalnej ustawy o zgromadzeniach, zebraniach, demonstracjach, marszach i pikietach Federacji Rosyjskiej CDL-AD(2012)007 paragraf 44; Przewodnik OBWE w sprawie demokratycznego zapewnienia porządku publicznego, wyd. II, 2008, paragraf 66; raport specjalnego sprawozdawcy ONZ ds. pozasądowych, doraźnych i arbitralnych egzekucji, 23 maja 2011 r., A/HRC/17/28, paragraf 60; raport specjalnego sprawozdawcy ds. wolności pokojowego zgromadz</w:t>
      </w:r>
      <w:r>
        <w:rPr>
          <w:rFonts w:ascii="Times New Roman" w:hAnsi="Times New Roman" w:cs="Times New Roman"/>
          <w:lang/>
        </w:rPr>
        <w:t>e</w:t>
      </w:r>
      <w:r w:rsidRPr="009C0834">
        <w:rPr>
          <w:rFonts w:ascii="Times New Roman" w:hAnsi="Times New Roman" w:cs="Times New Roman"/>
          <w:lang/>
        </w:rPr>
        <w:t xml:space="preserve">nia się i zrzeszania się, 21 maja 2012 r., A/HRC/20/27, paragraf 35; Opinia w sprawie projektu ustawy o zebraniach, wiecach i manifestacjach Bułgarii, CDL- AD(2009)035, paragraf 58; Wspólna opinia w sprawie ustawy o zgromadzeniach publicznych Republiki Serbskiej OBWE/BDiPCz oraz Komisji Weneckiej, op. cit., paragraf 13(G); Wspólna opinia w sprawie ustawy o zgromadzeniach publicznych kantonu sarajewskiego (Bośnia i Hercegowina) OBWE/BDiPCz oraz Komisji Weneckiej,  CDL-AD(2010)016, paragraf 5; Wspólna opinia w sprawie zarządzenia o organizacji i przeprowadzaniu wydarzeń pokojowych Ukrainy OBWE/BDiPCz oraz Komisji Weneckiej, CDL-AD(2009)052, paragraf 5(u); oraz Drugi raport Międzyamerykańskiej Komisji Praw Człowieka w sprawie sytuacji obrońców praw człowieka w Amerykach, 31 grudnia 2011 r., OEA/Ser.L/V/II, Dok. 66, paragraf 139; Raport w sprawie sytuacji obrońców praw człowieka w Amerykach, 7 marca 2006 r., OEA/Ser.L/V/II.124, Dok. 5, wer. 1. paragraf 58; oraz rozdział IV, Raport roczny 2002, t. III „Raport biura specjalnego sprawozdawcy ds. wolności wypowiedzi” OEA/Ser. L/V/II. 117, Dok. 5 wer. 1, paragraf 34; zob. również opinię Sędziego Pinto de Albuquerque w </w:t>
      </w:r>
      <w:r w:rsidRPr="009C0834">
        <w:rPr>
          <w:rFonts w:ascii="Times New Roman" w:hAnsi="Times New Roman" w:cs="Times New Roman"/>
          <w:i/>
          <w:iCs/>
          <w:lang/>
        </w:rPr>
        <w:t>Fáber przeciwko Węgrom</w:t>
      </w:r>
      <w:r w:rsidRPr="009C0834">
        <w:rPr>
          <w:rFonts w:ascii="Times New Roman" w:hAnsi="Times New Roman" w:cs="Times New Roman"/>
          <w:lang/>
        </w:rPr>
        <w:t xml:space="preserve">, nr 40721/08, 24 lipca 2012 r., powtórzoną w opinii Sędziów Raimondi, Jočienė i Pinto de Albuquerque w sprawie </w:t>
      </w:r>
      <w:r w:rsidRPr="009C0834">
        <w:rPr>
          <w:rFonts w:ascii="Times New Roman" w:hAnsi="Times New Roman" w:cs="Times New Roman"/>
          <w:i/>
          <w:iCs/>
          <w:lang/>
        </w:rPr>
        <w:t>Kudrevičius i Inni przeciwko Litwie</w:t>
      </w:r>
      <w:r w:rsidRPr="009C0834">
        <w:rPr>
          <w:rFonts w:ascii="Times New Roman" w:hAnsi="Times New Roman" w:cs="Times New Roman"/>
          <w:lang/>
        </w:rPr>
        <w:t xml:space="preserve">, nr 37553/05, 26 listopada 2013 r., opinii Sędziów Pinto de Albuquerque, Turković i Dedov w sprawie </w:t>
      </w:r>
      <w:r w:rsidRPr="009C0834">
        <w:rPr>
          <w:rFonts w:ascii="Times New Roman" w:hAnsi="Times New Roman" w:cs="Times New Roman"/>
          <w:i/>
          <w:iCs/>
          <w:lang/>
        </w:rPr>
        <w:t>Taranenko</w:t>
      </w:r>
      <w:r w:rsidRPr="009C0834">
        <w:rPr>
          <w:rFonts w:ascii="Times New Roman" w:hAnsi="Times New Roman" w:cs="Times New Roman"/>
          <w:lang/>
        </w:rPr>
        <w:t xml:space="preserve">, op. cit., oraz opinii Sędziów Pinto de Albuquerque oraz Turković w </w:t>
      </w:r>
      <w:r w:rsidRPr="009C0834">
        <w:rPr>
          <w:rFonts w:ascii="Times New Roman" w:hAnsi="Times New Roman" w:cs="Times New Roman"/>
          <w:i/>
          <w:iCs/>
          <w:lang/>
        </w:rPr>
        <w:t>Primov i Inni</w:t>
      </w:r>
      <w:r w:rsidRPr="009C0834">
        <w:rPr>
          <w:rFonts w:ascii="Times New Roman" w:hAnsi="Times New Roman" w:cs="Times New Roman"/>
          <w:lang/>
        </w:rPr>
        <w:t>, op. cit.).</w:t>
      </w:r>
    </w:p>
  </w:footnote>
  <w:footnote w:id="30">
    <w:p w:rsidR="00A52C5C" w:rsidRDefault="00A52C5C" w:rsidP="00320267">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Ta przesadna reakcja przejawia się również w sposobie, w jaki Rząd odniósł się w swoim stanowisku z dnia 26 lipca 2012 r., s. 16, do „wysokiego poziomu zagrożenia społecznego spowodowanego przez wykroczenia” popełnione przez skarżących. Duże obawy budzi fakt, że Rząd uważa wyrażenie sprzeciwu politycznego za „społeczne zagrożenie”.</w:t>
      </w:r>
    </w:p>
  </w:footnote>
  <w:footnote w:id="31">
    <w:p w:rsidR="00A52C5C" w:rsidRDefault="00A52C5C" w:rsidP="00A12599">
      <w:pPr>
        <w:pStyle w:val="FootnoteText"/>
        <w:ind w:left="284" w:hanging="284"/>
        <w:jc w:val="both"/>
      </w:pPr>
      <w:r>
        <w:rPr>
          <w:rStyle w:val="FootnoteReference"/>
          <w:rFonts w:ascii="Times New Roman" w:hAnsi="Times New Roman" w:cs="Times New Roman"/>
        </w:rPr>
        <w:footnoteRef/>
      </w:r>
      <w:r w:rsidRPr="009C0834">
        <w:rPr>
          <w:rFonts w:ascii="Times New Roman" w:hAnsi="Times New Roman" w:cs="Times New Roman"/>
          <w:lang/>
        </w:rPr>
        <w:tab/>
        <w:t xml:space="preserve">W świetle akt sprawy ograniczenia nałożone na prawa skarżących wynikające z Konwencji mogą być nawet odczytywane jako przypadek niewłaściwego ograniczenia stosowania ograniczeń praw zgodnie z art. 18 Konwencji. Kiedy podnoszony jest zarzut na podstawie art. 18 Konwencji, Trybunał stosuje bardzo rygorystyczny standard dowodu (zob. </w:t>
      </w:r>
      <w:r w:rsidRPr="009C0834">
        <w:rPr>
          <w:rFonts w:ascii="Times New Roman" w:hAnsi="Times New Roman" w:cs="Times New Roman"/>
          <w:i/>
          <w:iCs/>
          <w:lang/>
        </w:rPr>
        <w:t>Khodorkovskiy przeciwko Rosji</w:t>
      </w:r>
      <w:r w:rsidRPr="009C0834">
        <w:rPr>
          <w:rFonts w:ascii="Times New Roman" w:hAnsi="Times New Roman" w:cs="Times New Roman"/>
          <w:lang/>
        </w:rPr>
        <w:t>, nr 5829/04, § 256, 31 maja 2011 r.); To nie jest miejsce, aby kwestionować ten standard. W każdym razie</w:t>
      </w:r>
      <w:r>
        <w:rPr>
          <w:rFonts w:ascii="Times New Roman" w:hAnsi="Times New Roman" w:cs="Times New Roman"/>
          <w:lang/>
        </w:rPr>
        <w:t>,</w:t>
      </w:r>
      <w:r w:rsidRPr="009C0834">
        <w:rPr>
          <w:rFonts w:ascii="Times New Roman" w:hAnsi="Times New Roman" w:cs="Times New Roman"/>
          <w:lang/>
        </w:rPr>
        <w:t xml:space="preserve"> biorąc pod uwagę paragrafy 73, 74, 85, 97, 112 i 116 wyroku, zadaję sobie pytanie, czy standard ten nie został spełniony </w:t>
      </w:r>
      <w:r>
        <w:rPr>
          <w:rFonts w:ascii="Times New Roman" w:hAnsi="Times New Roman" w:cs="Times New Roman"/>
          <w:lang/>
        </w:rPr>
        <w:t>w obecnej sprawie</w:t>
      </w:r>
      <w:r w:rsidRPr="009C0834">
        <w:rPr>
          <w:rFonts w:ascii="Times New Roman" w:hAnsi="Times New Roman" w:cs="Times New Roman"/>
          <w:lang/>
        </w:rPr>
        <w:t>, a jeśli nie, co byłoby konieczne, aby został on osiągnięty.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rsidP="00B66D80">
    <w:pPr>
      <w:tabs>
        <w:tab w:val="center" w:pos="4536"/>
      </w:tabs>
      <w:spacing w:after="0" w:line="240" w:lineRule="auto"/>
      <w:ind w:left="567" w:right="-20"/>
      <w:rPr>
        <w:rFonts w:ascii="Times New Roman" w:hAnsi="Times New Roman" w:cs="Times New Roman"/>
        <w:sz w:val="18"/>
        <w:szCs w:val="18"/>
        <w:lang w:val="pl-PL"/>
      </w:rPr>
    </w:pPr>
    <w:r w:rsidRPr="009C0834">
      <w:rPr>
        <w:rFonts w:ascii="Times New Roman" w:hAnsi="Times New Roman" w:cs="Times New Roman"/>
        <w:sz w:val="18"/>
        <w:szCs w:val="18"/>
        <w:lang w:val="pl-PL"/>
      </w:rPr>
      <w:fldChar w:fldCharType="begin"/>
    </w:r>
    <w:r w:rsidRPr="009C0834">
      <w:rPr>
        <w:rFonts w:ascii="Times New Roman" w:hAnsi="Times New Roman" w:cs="Times New Roman"/>
        <w:sz w:val="18"/>
        <w:szCs w:val="18"/>
        <w:lang w:val="pl-PL"/>
      </w:rPr>
      <w:instrText xml:space="preserve"> PAGE </w:instrText>
    </w:r>
    <w:r w:rsidRPr="009C0834">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28</w:t>
    </w:r>
    <w:r w:rsidRPr="009C0834">
      <w:rPr>
        <w:rFonts w:ascii="Times New Roman" w:hAnsi="Times New Roman" w:cs="Times New Roman"/>
        <w:sz w:val="18"/>
        <w:szCs w:val="18"/>
        <w:lang w:val="pl-PL"/>
      </w:rPr>
      <w:fldChar w:fldCharType="end"/>
    </w:r>
    <w:r w:rsidRPr="009C0834">
      <w:rPr>
        <w:rFonts w:ascii="Times New Roman" w:hAnsi="Times New Roman" w:cs="Times New Roman"/>
        <w:lang w:val="pl-PL"/>
      </w:rPr>
      <w:tab/>
    </w:r>
    <w:r w:rsidRPr="009C0834">
      <w:rPr>
        <w:rFonts w:ascii="Times New Roman" w:hAnsi="Times New Roman" w:cs="Times New Roman"/>
        <w:sz w:val="18"/>
        <w:szCs w:val="18"/>
        <w:lang w:val="pl-PL"/>
      </w:rPr>
      <w:t xml:space="preserve">WYROK W SPRAWIE NAVALNYY I YASHIN PRZECIWKO ROSJI </w:t>
    </w:r>
    <w:r>
      <w:rPr>
        <w:rFonts w:ascii="Times New Roman" w:hAnsi="Times New Roman" w:cs="Times New Roman"/>
        <w:sz w:val="18"/>
        <w:szCs w:val="18"/>
        <w:lang w:val="pl-PL"/>
      </w:rPr>
      <w:t xml:space="preserve"> </w:t>
    </w:r>
  </w:p>
  <w:p w:rsidR="00A52C5C" w:rsidRDefault="00A52C5C" w:rsidP="00B66D80">
    <w:pPr>
      <w:tabs>
        <w:tab w:val="center" w:pos="4536"/>
      </w:tabs>
      <w:spacing w:after="0" w:line="240" w:lineRule="auto"/>
      <w:ind w:left="567" w:right="-20"/>
      <w:rPr>
        <w:rFonts w:ascii="Times New Roman" w:hAnsi="Times New Roman" w:cs="Times New Roman"/>
        <w:sz w:val="18"/>
        <w:szCs w:val="18"/>
        <w:lang w:val="pl-PL"/>
      </w:rPr>
    </w:pPr>
  </w:p>
  <w:p w:rsidR="00A52C5C" w:rsidRPr="00B025B2" w:rsidRDefault="00A52C5C" w:rsidP="00B66D80">
    <w:pPr>
      <w:tabs>
        <w:tab w:val="center" w:pos="4536"/>
      </w:tabs>
      <w:spacing w:after="0" w:line="240" w:lineRule="auto"/>
      <w:ind w:left="567" w:right="-20"/>
      <w:rPr>
        <w:rFonts w:ascii="Times New Roman" w:hAnsi="Times New Roman" w:cs="Times New Roman"/>
        <w:sz w:val="18"/>
        <w:szCs w:val="18"/>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rsidP="00B66D80">
    <w:pPr>
      <w:tabs>
        <w:tab w:val="right" w:pos="7938"/>
      </w:tabs>
      <w:spacing w:after="0" w:line="240" w:lineRule="auto"/>
      <w:ind w:left="1985" w:right="-20"/>
      <w:rPr>
        <w:rFonts w:ascii="Times New Roman" w:hAnsi="Times New Roman" w:cs="Times New Roman"/>
        <w:sz w:val="18"/>
        <w:szCs w:val="18"/>
        <w:lang w:val="pl-PL"/>
      </w:rPr>
    </w:pPr>
    <w:r w:rsidRPr="009C0834">
      <w:rPr>
        <w:rFonts w:ascii="Times New Roman" w:hAnsi="Times New Roman" w:cs="Times New Roman"/>
        <w:sz w:val="18"/>
        <w:szCs w:val="18"/>
        <w:lang w:val="pl-PL"/>
      </w:rPr>
      <w:t>WYROK W SPRAWIE NAVALNYY I YASHIN PRZECIWKO ROSJI</w:t>
    </w:r>
    <w:r w:rsidRPr="009C0834">
      <w:rPr>
        <w:rFonts w:ascii="Times New Roman" w:hAnsi="Times New Roman" w:cs="Times New Roman"/>
        <w:sz w:val="18"/>
        <w:szCs w:val="18"/>
        <w:lang w:val="pl-PL"/>
      </w:rPr>
      <w:tab/>
    </w:r>
    <w:r w:rsidRPr="009C0834">
      <w:rPr>
        <w:rFonts w:ascii="Times New Roman" w:hAnsi="Times New Roman" w:cs="Times New Roman"/>
        <w:sz w:val="18"/>
        <w:szCs w:val="18"/>
        <w:lang w:val="pl-PL"/>
      </w:rPr>
      <w:fldChar w:fldCharType="begin"/>
    </w:r>
    <w:r w:rsidRPr="009C0834">
      <w:rPr>
        <w:rFonts w:ascii="Times New Roman" w:hAnsi="Times New Roman" w:cs="Times New Roman"/>
        <w:sz w:val="18"/>
        <w:szCs w:val="18"/>
        <w:lang w:val="pl-PL"/>
      </w:rPr>
      <w:instrText xml:space="preserve"> PAGE </w:instrText>
    </w:r>
    <w:r w:rsidRPr="009C0834">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29</w:t>
    </w:r>
    <w:r w:rsidRPr="009C0834">
      <w:rPr>
        <w:rFonts w:ascii="Times New Roman" w:hAnsi="Times New Roman" w:cs="Times New Roman"/>
        <w:sz w:val="18"/>
        <w:szCs w:val="18"/>
        <w:lang w:val="pl-PL"/>
      </w:rPr>
      <w:fldChar w:fldCharType="end"/>
    </w:r>
  </w:p>
  <w:p w:rsidR="00A52C5C" w:rsidRDefault="00A52C5C" w:rsidP="00B66D80">
    <w:pPr>
      <w:tabs>
        <w:tab w:val="right" w:pos="7938"/>
      </w:tabs>
      <w:spacing w:after="0" w:line="240" w:lineRule="auto"/>
      <w:ind w:left="1985" w:right="-20"/>
      <w:rPr>
        <w:rFonts w:ascii="Times New Roman" w:hAnsi="Times New Roman" w:cs="Times New Roman"/>
        <w:sz w:val="18"/>
        <w:szCs w:val="18"/>
        <w:lang w:val="pl-PL"/>
      </w:rPr>
    </w:pPr>
  </w:p>
  <w:p w:rsidR="00A52C5C" w:rsidRPr="00B025B2" w:rsidRDefault="00A52C5C" w:rsidP="00B66D80">
    <w:pPr>
      <w:tabs>
        <w:tab w:val="right" w:pos="7938"/>
      </w:tabs>
      <w:spacing w:after="0" w:line="240" w:lineRule="auto"/>
      <w:ind w:left="1985" w:right="-20"/>
      <w:rPr>
        <w:rFonts w:ascii="Times New Roman" w:hAnsi="Times New Roman" w:cs="Times New Roman"/>
        <w:sz w:val="18"/>
        <w:szCs w:val="18"/>
        <w:lang w:val="pl-P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rsidP="005B1EC2">
    <w:pPr>
      <w:tabs>
        <w:tab w:val="center" w:pos="4536"/>
      </w:tabs>
      <w:spacing w:after="0" w:line="240" w:lineRule="auto"/>
      <w:ind w:left="567" w:right="-20"/>
      <w:rPr>
        <w:rFonts w:ascii="Times New Roman" w:hAnsi="Times New Roman" w:cs="Times New Roman"/>
        <w:sz w:val="18"/>
        <w:szCs w:val="18"/>
        <w:lang w:val="pl-PL"/>
      </w:rPr>
    </w:pPr>
    <w:r w:rsidRPr="009C0834">
      <w:rPr>
        <w:rFonts w:ascii="Times New Roman" w:hAnsi="Times New Roman" w:cs="Times New Roman"/>
        <w:sz w:val="18"/>
        <w:szCs w:val="18"/>
        <w:lang w:val="pl-PL"/>
      </w:rPr>
      <w:fldChar w:fldCharType="begin"/>
    </w:r>
    <w:r w:rsidRPr="009C0834">
      <w:rPr>
        <w:rFonts w:ascii="Times New Roman" w:hAnsi="Times New Roman" w:cs="Times New Roman"/>
        <w:sz w:val="18"/>
        <w:szCs w:val="18"/>
        <w:lang w:val="pl-PL"/>
      </w:rPr>
      <w:instrText xml:space="preserve"> PAGE </w:instrText>
    </w:r>
    <w:r w:rsidRPr="009C0834">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36</w:t>
    </w:r>
    <w:r w:rsidRPr="009C0834">
      <w:rPr>
        <w:rFonts w:ascii="Times New Roman" w:hAnsi="Times New Roman" w:cs="Times New Roman"/>
        <w:sz w:val="18"/>
        <w:szCs w:val="18"/>
        <w:lang w:val="pl-PL"/>
      </w:rPr>
      <w:fldChar w:fldCharType="end"/>
    </w:r>
    <w:r w:rsidRPr="009C0834">
      <w:rPr>
        <w:rFonts w:ascii="Times New Roman" w:hAnsi="Times New Roman" w:cs="Times New Roman"/>
        <w:lang w:val="pl-PL"/>
      </w:rPr>
      <w:tab/>
    </w:r>
    <w:r w:rsidRPr="009C0834">
      <w:rPr>
        <w:rFonts w:ascii="Times New Roman" w:hAnsi="Times New Roman" w:cs="Times New Roman"/>
        <w:sz w:val="18"/>
        <w:szCs w:val="18"/>
        <w:lang w:val="pl-PL"/>
      </w:rPr>
      <w:t xml:space="preserve">WYROK W SPRAWIE NAVALNYY I YASHIN PRZECIWKO ROSJI – </w:t>
    </w:r>
    <w:r>
      <w:rPr>
        <w:rFonts w:ascii="Times New Roman" w:hAnsi="Times New Roman" w:cs="Times New Roman"/>
        <w:sz w:val="18"/>
        <w:szCs w:val="18"/>
        <w:lang w:val="pl-PL"/>
      </w:rPr>
      <w:t>OPINIA ODRĘBNA</w:t>
    </w:r>
  </w:p>
  <w:p w:rsidR="00A52C5C" w:rsidRDefault="00A52C5C" w:rsidP="005B1EC2">
    <w:pPr>
      <w:tabs>
        <w:tab w:val="center" w:pos="4536"/>
      </w:tabs>
      <w:spacing w:after="0" w:line="240" w:lineRule="auto"/>
      <w:ind w:left="567" w:right="-20"/>
      <w:rPr>
        <w:rFonts w:ascii="Times New Roman" w:hAnsi="Times New Roman" w:cs="Times New Roman"/>
        <w:sz w:val="18"/>
        <w:szCs w:val="18"/>
        <w:lang w:val="pl-PL"/>
      </w:rPr>
    </w:pPr>
  </w:p>
  <w:p w:rsidR="00A52C5C" w:rsidRPr="00B025B2" w:rsidRDefault="00A52C5C" w:rsidP="005B1EC2">
    <w:pPr>
      <w:tabs>
        <w:tab w:val="center" w:pos="4536"/>
      </w:tabs>
      <w:spacing w:after="0" w:line="240" w:lineRule="auto"/>
      <w:ind w:left="567" w:right="-20"/>
      <w:rPr>
        <w:rFonts w:ascii="Times New Roman" w:hAnsi="Times New Roman" w:cs="Times New Roman"/>
        <w:sz w:val="18"/>
        <w:szCs w:val="18"/>
        <w:lang w:val="pl-P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5C" w:rsidRDefault="00A52C5C" w:rsidP="00C7229A">
    <w:pPr>
      <w:tabs>
        <w:tab w:val="right" w:pos="7938"/>
      </w:tabs>
      <w:spacing w:after="0" w:line="240" w:lineRule="auto"/>
      <w:ind w:left="851" w:right="-20"/>
      <w:rPr>
        <w:rFonts w:ascii="Times New Roman" w:hAnsi="Times New Roman" w:cs="Times New Roman"/>
        <w:sz w:val="18"/>
        <w:szCs w:val="18"/>
        <w:lang w:val="pl-PL"/>
      </w:rPr>
    </w:pPr>
    <w:r w:rsidRPr="009C0834">
      <w:rPr>
        <w:rFonts w:ascii="Times New Roman" w:hAnsi="Times New Roman" w:cs="Times New Roman"/>
        <w:sz w:val="18"/>
        <w:szCs w:val="18"/>
        <w:lang w:val="pl-PL"/>
      </w:rPr>
      <w:t xml:space="preserve">WYROK W SPRAWIE NAVALNYY I YASHIN PRZECIWKO ROSJI – </w:t>
    </w:r>
    <w:r>
      <w:rPr>
        <w:rFonts w:ascii="Times New Roman" w:hAnsi="Times New Roman" w:cs="Times New Roman"/>
        <w:sz w:val="18"/>
        <w:szCs w:val="18"/>
        <w:lang w:val="pl-PL"/>
      </w:rPr>
      <w:t>OPINIA ODRĘBNA</w:t>
    </w:r>
    <w:r w:rsidRPr="009C0834">
      <w:rPr>
        <w:rFonts w:ascii="Times New Roman" w:hAnsi="Times New Roman" w:cs="Times New Roman"/>
        <w:sz w:val="18"/>
        <w:szCs w:val="18"/>
        <w:lang w:val="pl-PL"/>
      </w:rPr>
      <w:tab/>
    </w:r>
    <w:r>
      <w:rPr>
        <w:rFonts w:ascii="Times New Roman" w:hAnsi="Times New Roman" w:cs="Times New Roman"/>
        <w:sz w:val="18"/>
        <w:szCs w:val="18"/>
        <w:lang w:val="pl-PL"/>
      </w:rPr>
      <w:t xml:space="preserve">        </w:t>
    </w:r>
    <w:r w:rsidRPr="009C0834">
      <w:rPr>
        <w:rFonts w:ascii="Times New Roman" w:hAnsi="Times New Roman" w:cs="Times New Roman"/>
        <w:sz w:val="18"/>
        <w:szCs w:val="18"/>
        <w:lang w:val="pl-PL"/>
      </w:rPr>
      <w:fldChar w:fldCharType="begin"/>
    </w:r>
    <w:r w:rsidRPr="009C0834">
      <w:rPr>
        <w:rFonts w:ascii="Times New Roman" w:hAnsi="Times New Roman" w:cs="Times New Roman"/>
        <w:sz w:val="18"/>
        <w:szCs w:val="18"/>
        <w:lang w:val="pl-PL"/>
      </w:rPr>
      <w:instrText xml:space="preserve"> PAGE </w:instrText>
    </w:r>
    <w:r w:rsidRPr="009C0834">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37</w:t>
    </w:r>
    <w:r w:rsidRPr="009C0834">
      <w:rPr>
        <w:rFonts w:ascii="Times New Roman" w:hAnsi="Times New Roman" w:cs="Times New Roman"/>
        <w:sz w:val="18"/>
        <w:szCs w:val="18"/>
        <w:lang w:val="pl-PL"/>
      </w:rPr>
      <w:fldChar w:fldCharType="end"/>
    </w:r>
  </w:p>
  <w:p w:rsidR="00A52C5C" w:rsidRDefault="00A52C5C" w:rsidP="00C7229A">
    <w:pPr>
      <w:tabs>
        <w:tab w:val="right" w:pos="7938"/>
      </w:tabs>
      <w:spacing w:after="0" w:line="240" w:lineRule="auto"/>
      <w:ind w:left="851" w:right="-20"/>
      <w:rPr>
        <w:rFonts w:ascii="Times New Roman" w:hAnsi="Times New Roman" w:cs="Times New Roman"/>
        <w:sz w:val="18"/>
        <w:szCs w:val="18"/>
        <w:lang w:val="pl-PL"/>
      </w:rPr>
    </w:pPr>
  </w:p>
  <w:p w:rsidR="00A52C5C" w:rsidRPr="00B025B2" w:rsidRDefault="00A52C5C" w:rsidP="00C7229A">
    <w:pPr>
      <w:tabs>
        <w:tab w:val="right" w:pos="7938"/>
      </w:tabs>
      <w:spacing w:after="0" w:line="240" w:lineRule="auto"/>
      <w:ind w:left="851" w:right="-20"/>
      <w:rPr>
        <w:rFonts w:ascii="Times New Roman" w:hAnsi="Times New Roman" w:cs="Times New Roman"/>
        <w:sz w:val="18"/>
        <w:szCs w:val="1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removePersonalInformation/>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B63"/>
    <w:rsid w:val="0000731C"/>
    <w:rsid w:val="00014B29"/>
    <w:rsid w:val="00021F19"/>
    <w:rsid w:val="000C7689"/>
    <w:rsid w:val="0010306D"/>
    <w:rsid w:val="00105D00"/>
    <w:rsid w:val="001263F0"/>
    <w:rsid w:val="00135744"/>
    <w:rsid w:val="00171001"/>
    <w:rsid w:val="00174F5D"/>
    <w:rsid w:val="001B66C0"/>
    <w:rsid w:val="001F4616"/>
    <w:rsid w:val="002023B6"/>
    <w:rsid w:val="0023783A"/>
    <w:rsid w:val="00256E5C"/>
    <w:rsid w:val="0027590B"/>
    <w:rsid w:val="002A2EA7"/>
    <w:rsid w:val="002B0ABB"/>
    <w:rsid w:val="002C31BE"/>
    <w:rsid w:val="002C6408"/>
    <w:rsid w:val="002D1250"/>
    <w:rsid w:val="003172A0"/>
    <w:rsid w:val="00320267"/>
    <w:rsid w:val="00320623"/>
    <w:rsid w:val="00362345"/>
    <w:rsid w:val="00370E4B"/>
    <w:rsid w:val="00377812"/>
    <w:rsid w:val="0037784E"/>
    <w:rsid w:val="003A1BC4"/>
    <w:rsid w:val="003A52B2"/>
    <w:rsid w:val="003B38B9"/>
    <w:rsid w:val="003D1659"/>
    <w:rsid w:val="00440F69"/>
    <w:rsid w:val="0044621B"/>
    <w:rsid w:val="00451C63"/>
    <w:rsid w:val="00451D0E"/>
    <w:rsid w:val="004541E4"/>
    <w:rsid w:val="00483DDE"/>
    <w:rsid w:val="004968CB"/>
    <w:rsid w:val="004B58D5"/>
    <w:rsid w:val="004D3204"/>
    <w:rsid w:val="004D7F1B"/>
    <w:rsid w:val="004E6268"/>
    <w:rsid w:val="004F34F4"/>
    <w:rsid w:val="00500F8C"/>
    <w:rsid w:val="005325F4"/>
    <w:rsid w:val="005439E2"/>
    <w:rsid w:val="00556715"/>
    <w:rsid w:val="00564EA8"/>
    <w:rsid w:val="00571E6E"/>
    <w:rsid w:val="0059763A"/>
    <w:rsid w:val="005B1EC2"/>
    <w:rsid w:val="005D0424"/>
    <w:rsid w:val="0062077B"/>
    <w:rsid w:val="00622DE1"/>
    <w:rsid w:val="00630970"/>
    <w:rsid w:val="00641355"/>
    <w:rsid w:val="00642BC0"/>
    <w:rsid w:val="00660BB9"/>
    <w:rsid w:val="00691963"/>
    <w:rsid w:val="006B5478"/>
    <w:rsid w:val="007058FD"/>
    <w:rsid w:val="007620B0"/>
    <w:rsid w:val="007C01E9"/>
    <w:rsid w:val="008069E5"/>
    <w:rsid w:val="0081165B"/>
    <w:rsid w:val="0081260A"/>
    <w:rsid w:val="00844E88"/>
    <w:rsid w:val="008468A4"/>
    <w:rsid w:val="00877E1E"/>
    <w:rsid w:val="00882A28"/>
    <w:rsid w:val="008F6846"/>
    <w:rsid w:val="009016EB"/>
    <w:rsid w:val="00922B63"/>
    <w:rsid w:val="0094741A"/>
    <w:rsid w:val="009533B7"/>
    <w:rsid w:val="00965FCA"/>
    <w:rsid w:val="00974379"/>
    <w:rsid w:val="009A0061"/>
    <w:rsid w:val="009C0834"/>
    <w:rsid w:val="009E1A8E"/>
    <w:rsid w:val="00A05D69"/>
    <w:rsid w:val="00A12599"/>
    <w:rsid w:val="00A22B0C"/>
    <w:rsid w:val="00A500BE"/>
    <w:rsid w:val="00A52C5C"/>
    <w:rsid w:val="00A61F83"/>
    <w:rsid w:val="00A67F2C"/>
    <w:rsid w:val="00AD2E92"/>
    <w:rsid w:val="00AD6490"/>
    <w:rsid w:val="00B025B2"/>
    <w:rsid w:val="00B064C8"/>
    <w:rsid w:val="00B158D7"/>
    <w:rsid w:val="00B35411"/>
    <w:rsid w:val="00B527F5"/>
    <w:rsid w:val="00B66D80"/>
    <w:rsid w:val="00B8441C"/>
    <w:rsid w:val="00BA73CB"/>
    <w:rsid w:val="00BC3665"/>
    <w:rsid w:val="00BE6009"/>
    <w:rsid w:val="00BF140B"/>
    <w:rsid w:val="00C02278"/>
    <w:rsid w:val="00C7229A"/>
    <w:rsid w:val="00C72A35"/>
    <w:rsid w:val="00CB6639"/>
    <w:rsid w:val="00CE36F1"/>
    <w:rsid w:val="00D00A61"/>
    <w:rsid w:val="00D563BB"/>
    <w:rsid w:val="00D63219"/>
    <w:rsid w:val="00D70063"/>
    <w:rsid w:val="00DB1EA9"/>
    <w:rsid w:val="00DB47E1"/>
    <w:rsid w:val="00E03A2C"/>
    <w:rsid w:val="00E32ECB"/>
    <w:rsid w:val="00E52713"/>
    <w:rsid w:val="00E6104E"/>
    <w:rsid w:val="00E65628"/>
    <w:rsid w:val="00EA0F91"/>
    <w:rsid w:val="00ED40C7"/>
    <w:rsid w:val="00ED6D08"/>
    <w:rsid w:val="00F6043B"/>
    <w:rsid w:val="00FA4165"/>
    <w:rsid w:val="00FF50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70"/>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6D80"/>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B66D80"/>
    <w:rPr>
      <w:rFonts w:ascii="Tahoma" w:hAnsi="Tahoma" w:cs="Tahoma"/>
      <w:sz w:val="16"/>
      <w:szCs w:val="16"/>
    </w:rPr>
  </w:style>
  <w:style w:type="paragraph" w:styleId="Header">
    <w:name w:val="header"/>
    <w:basedOn w:val="Normal"/>
    <w:link w:val="HeaderChar"/>
    <w:uiPriority w:val="99"/>
    <w:rsid w:val="00B66D8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6D80"/>
  </w:style>
  <w:style w:type="paragraph" w:styleId="Footer">
    <w:name w:val="footer"/>
    <w:basedOn w:val="Normal"/>
    <w:link w:val="FooterChar"/>
    <w:uiPriority w:val="99"/>
    <w:semiHidden/>
    <w:rsid w:val="00B66D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66D80"/>
  </w:style>
  <w:style w:type="paragraph" w:customStyle="1" w:styleId="Styl1">
    <w:name w:val="Styl1"/>
    <w:basedOn w:val="Normal"/>
    <w:link w:val="Styl1Znak"/>
    <w:uiPriority w:val="99"/>
    <w:rsid w:val="00B66D80"/>
    <w:pPr>
      <w:spacing w:after="0" w:line="240" w:lineRule="auto"/>
      <w:ind w:left="595" w:right="567" w:firstLine="285"/>
      <w:jc w:val="both"/>
    </w:pPr>
    <w:rPr>
      <w:rFonts w:cs="Times New Roman"/>
      <w:sz w:val="24"/>
      <w:szCs w:val="24"/>
      <w:lang w:val="pl-PL" w:eastAsia="pl-PL"/>
    </w:rPr>
  </w:style>
  <w:style w:type="paragraph" w:customStyle="1" w:styleId="Styl2">
    <w:name w:val="Styl2"/>
    <w:basedOn w:val="Normal"/>
    <w:link w:val="Styl2Znak"/>
    <w:uiPriority w:val="99"/>
    <w:rsid w:val="00A500BE"/>
    <w:pPr>
      <w:spacing w:after="0" w:line="240" w:lineRule="auto"/>
      <w:ind w:left="1021" w:right="567" w:firstLine="142"/>
    </w:pPr>
    <w:rPr>
      <w:rFonts w:cs="Times New Roman"/>
      <w:sz w:val="20"/>
      <w:szCs w:val="20"/>
      <w:lang w:val="pl-PL" w:eastAsia="pl-PL"/>
    </w:rPr>
  </w:style>
  <w:style w:type="character" w:customStyle="1" w:styleId="Styl1Znak">
    <w:name w:val="Styl1 Znak"/>
    <w:link w:val="Styl1"/>
    <w:uiPriority w:val="99"/>
    <w:locked/>
    <w:rsid w:val="00B66D80"/>
    <w:rPr>
      <w:rFonts w:ascii="Times New Roman" w:hAnsi="Times New Roman" w:cs="Times New Roman"/>
      <w:sz w:val="24"/>
      <w:szCs w:val="24"/>
    </w:rPr>
  </w:style>
  <w:style w:type="paragraph" w:styleId="FootnoteText">
    <w:name w:val="footnote text"/>
    <w:basedOn w:val="Normal"/>
    <w:link w:val="FootnoteTextChar"/>
    <w:uiPriority w:val="99"/>
    <w:semiHidden/>
    <w:rsid w:val="00C7229A"/>
    <w:pPr>
      <w:spacing w:after="0" w:line="240" w:lineRule="auto"/>
    </w:pPr>
    <w:rPr>
      <w:sz w:val="20"/>
      <w:szCs w:val="20"/>
      <w:lang w:val="pl-PL" w:eastAsia="pl-PL"/>
    </w:rPr>
  </w:style>
  <w:style w:type="character" w:customStyle="1" w:styleId="FootnoteTextChar">
    <w:name w:val="Footnote Text Char"/>
    <w:basedOn w:val="DefaultParagraphFont"/>
    <w:link w:val="FootnoteText"/>
    <w:uiPriority w:val="99"/>
    <w:semiHidden/>
    <w:locked/>
    <w:rsid w:val="00C7229A"/>
    <w:rPr>
      <w:sz w:val="20"/>
      <w:szCs w:val="20"/>
    </w:rPr>
  </w:style>
  <w:style w:type="character" w:customStyle="1" w:styleId="Styl2Znak">
    <w:name w:val="Styl2 Znak"/>
    <w:link w:val="Styl2"/>
    <w:uiPriority w:val="99"/>
    <w:locked/>
    <w:rsid w:val="00A500BE"/>
    <w:rPr>
      <w:rFonts w:ascii="Times New Roman" w:hAnsi="Times New Roman" w:cs="Times New Roman"/>
      <w:sz w:val="20"/>
      <w:szCs w:val="20"/>
    </w:rPr>
  </w:style>
  <w:style w:type="character" w:styleId="FootnoteReference">
    <w:name w:val="footnote reference"/>
    <w:basedOn w:val="DefaultParagraphFont"/>
    <w:uiPriority w:val="99"/>
    <w:semiHidden/>
    <w:rsid w:val="00C7229A"/>
    <w:rPr>
      <w:vertAlign w:val="superscript"/>
    </w:rPr>
  </w:style>
  <w:style w:type="character" w:styleId="Hyperlink">
    <w:name w:val="Hyperlink"/>
    <w:basedOn w:val="DefaultParagraphFont"/>
    <w:uiPriority w:val="99"/>
    <w:semiHidden/>
    <w:rsid w:val="00D563BB"/>
    <w:rPr>
      <w:color w:val="auto"/>
      <w:u w:val="single"/>
    </w:rPr>
  </w:style>
  <w:style w:type="paragraph" w:customStyle="1" w:styleId="s6e50bd9a">
    <w:name w:val="s6e50bd9a"/>
    <w:basedOn w:val="Normal"/>
    <w:uiPriority w:val="99"/>
    <w:rsid w:val="00D563B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D563B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D563BB"/>
  </w:style>
</w:styles>
</file>

<file path=word/webSettings.xml><?xml version="1.0" encoding="utf-8"?>
<w:webSettings xmlns:r="http://schemas.openxmlformats.org/officeDocument/2006/relationships" xmlns:w="http://schemas.openxmlformats.org/wordprocessingml/2006/main">
  <w:divs>
    <w:div w:id="205947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sites/eng/Pages/search.aspx%23%7B%22appno%22%3A%5B%2230562/04%22%5D%7D" TargetMode="External"/><Relationship Id="rId18" Type="http://schemas.openxmlformats.org/officeDocument/2006/relationships/hyperlink" Target="http://hudoc.echr.coe.int/sites/eng/Pages/search.aspx%23%7B%22appno%22%3A%5B%2240086/98%22%5D%7D"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hudoc.echr.coe.int/sites/eng/Pages/search.aspx%23%7B%22appno%22%3A%5B%2230210/96%22%5D%7D" TargetMode="External"/><Relationship Id="rId7" Type="http://schemas.openxmlformats.org/officeDocument/2006/relationships/image" Target="media/image2.png"/><Relationship Id="rId12" Type="http://schemas.openxmlformats.org/officeDocument/2006/relationships/hyperlink" Target="http://hudoc.echr.coe.int/sites/eng/Pages/search.aspx%23%7B%22appno%22%3A%5B%2224876/94%22%5D%7D" TargetMode="External"/><Relationship Id="rId17" Type="http://schemas.openxmlformats.org/officeDocument/2006/relationships/hyperlink" Target="http://hudoc.echr.coe.int/sites/eng/Pages/search.aspx%23%7B%22appno%22%3A%5B%2239665/98%22%5D%7D"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hudoc.echr.coe.int/sites/eng/Pages/search.aspx%23%7B%22appno%22%3A%5B%2240721/08%22%5D%7D" TargetMode="External"/><Relationship Id="rId20" Type="http://schemas.openxmlformats.org/officeDocument/2006/relationships/hyperlink" Target="http://hudoc.echr.coe.int/sites/eng/Pages/search.aspx%23%7B%22appno%22%3A%5B%225140/02%22%5D%7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http://hudoc.echr.coe.int/sites/eng/Pages/search.aspx%23%7B%22appno%22%3A%5B%2242255/04%22%5D%7D" TargetMode="External"/><Relationship Id="rId5" Type="http://schemas.openxmlformats.org/officeDocument/2006/relationships/endnotes" Target="endnotes.xml"/><Relationship Id="rId15" Type="http://schemas.openxmlformats.org/officeDocument/2006/relationships/hyperlink" Target="http://hudoc.echr.coe.int/sites/eng/Pages/search.aspx%23%7B%22appno%22%3A%5B%2225691/04%22%5D%7D" TargetMode="External"/><Relationship Id="rId23" Type="http://schemas.openxmlformats.org/officeDocument/2006/relationships/hyperlink" Target="http://hudoc.echr.coe.int/sites/eng/Pages/search.aspx%23%7B%22appno%22%3A%5B%2211336/06%22%5D%7D"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hudoc.echr.coe.int/sites/eng/Pages/search.aspx%23%7B%22appno%22%3A%5B%2258442/00%22%5D%7D"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hudoc.echr.coe.int/sites/eng/Pages/search.aspx%23%7B%22appno%22%3A%5B%2230566/04%22%5D%7D" TargetMode="External"/><Relationship Id="rId22" Type="http://schemas.openxmlformats.org/officeDocument/2006/relationships/hyperlink" Target="http://hudoc.echr.coe.int/sites/eng/Pages/search.aspx%23%7B%22appno%22%3A%5B%2241461/10%22%5D%7D"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37</Pages>
  <Words>14350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2016-06-15T06:57:00Z</dcterms:created>
  <dcterms:modified xsi:type="dcterms:W3CDTF">2016-06-15T06:57:00Z</dcterms:modified>
</cp:coreProperties>
</file>