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20D" w:rsidRDefault="00A2020D" w:rsidP="004D46D2">
      <w:pPr>
        <w:jc w:val="center"/>
        <w:rPr>
          <w:rFonts w:ascii="Arial" w:hAnsi="Arial" w:cs="Arial"/>
          <w:sz w:val="20"/>
          <w:szCs w:val="20"/>
        </w:rPr>
      </w:pPr>
      <w:r>
        <w:rPr>
          <w:rStyle w:val="s4f807e54"/>
          <w:rFonts w:ascii="Arial" w:hAnsi="Arial" w:cs="Arial"/>
          <w:sz w:val="20"/>
          <w:szCs w:val="20"/>
        </w:rPr>
        <w:t xml:space="preserve">© </w:t>
      </w:r>
      <w:r>
        <w:rPr>
          <w:rFonts w:ascii="Arial" w:hAnsi="Arial" w:cs="Arial"/>
          <w:sz w:val="20"/>
          <w:szCs w:val="20"/>
        </w:rPr>
        <w:t xml:space="preserve">Copyright for the Polish translation by Naczelny Sąd Administracyjny, </w:t>
      </w:r>
    </w:p>
    <w:p w:rsidR="00A2020D" w:rsidRDefault="00A2020D" w:rsidP="004D46D2">
      <w:pPr>
        <w:pStyle w:val="DecHTitle"/>
        <w:rPr>
          <w:lang w:val="pl-PL"/>
        </w:rPr>
      </w:pPr>
      <w:r>
        <w:rPr>
          <w:rFonts w:ascii="Arial" w:hAnsi="Arial" w:cs="Arial"/>
          <w:sz w:val="20"/>
          <w:szCs w:val="20"/>
          <w:lang w:val="en-US"/>
        </w:rPr>
        <w:t>Warszawa 2014</w:t>
      </w:r>
    </w:p>
    <w:p w:rsidR="00A2020D" w:rsidRDefault="00A2020D" w:rsidP="00DA11E9">
      <w:pPr>
        <w:pStyle w:val="DecHTitle"/>
        <w:rPr>
          <w:lang w:val="pl-PL"/>
        </w:rPr>
      </w:pPr>
    </w:p>
    <w:p w:rsidR="00A2020D" w:rsidRPr="00DA11E9" w:rsidRDefault="00A2020D" w:rsidP="00DA11E9">
      <w:pPr>
        <w:pStyle w:val="DecHTitle"/>
        <w:rPr>
          <w:lang w:val="pl-PL"/>
        </w:rPr>
      </w:pPr>
      <w:r w:rsidRPr="00DA11E9">
        <w:rPr>
          <w:lang w:val="pl-PL"/>
        </w:rPr>
        <w:t>PIERWSZA SEKCJA</w:t>
      </w:r>
    </w:p>
    <w:p w:rsidR="00A2020D" w:rsidRDefault="00A2020D" w:rsidP="00DA11E9">
      <w:pPr>
        <w:pStyle w:val="DecHTitle"/>
        <w:rPr>
          <w:lang w:val="pl-PL"/>
        </w:rPr>
      </w:pPr>
      <w:r w:rsidRPr="00DA11E9">
        <w:rPr>
          <w:lang w:val="pl-PL"/>
        </w:rPr>
        <w:t>DECYZJA</w:t>
      </w:r>
    </w:p>
    <w:p w:rsidR="00A2020D" w:rsidRDefault="00A2020D" w:rsidP="00DA11E9">
      <w:pPr>
        <w:pStyle w:val="DecHTitle"/>
        <w:rPr>
          <w:lang w:val="pl-PL"/>
        </w:rPr>
      </w:pPr>
      <w:r>
        <w:rPr>
          <w:lang w:val="pl-PL"/>
        </w:rPr>
        <w:t>[wyciąg</w:t>
      </w:r>
      <w:r>
        <w:rPr>
          <w:rStyle w:val="FootnoteReference"/>
          <w:lang w:val="pl-PL"/>
        </w:rPr>
        <w:footnoteReference w:id="1"/>
      </w:r>
      <w:r>
        <w:rPr>
          <w:lang w:val="pl-PL"/>
        </w:rPr>
        <w:t>]</w:t>
      </w:r>
    </w:p>
    <w:p w:rsidR="00A2020D" w:rsidRPr="00DA11E9" w:rsidRDefault="00A2020D" w:rsidP="00DA11E9">
      <w:pPr>
        <w:pStyle w:val="DecHCase"/>
        <w:rPr>
          <w:lang w:val="pl-PL"/>
        </w:rPr>
      </w:pPr>
      <w:r w:rsidRPr="00DA11E9">
        <w:rPr>
          <w:lang w:val="pl-PL"/>
        </w:rPr>
        <w:t>Skargi nr 57665/12 i 57657/12</w:t>
      </w:r>
      <w:r w:rsidRPr="00DA11E9">
        <w:rPr>
          <w:lang w:val="pl-PL"/>
        </w:rPr>
        <w:br/>
        <w:t xml:space="preserve">Ioanna KOUFAKI przeciwko Grecji </w:t>
      </w:r>
      <w:r w:rsidRPr="00DA11E9">
        <w:rPr>
          <w:lang w:val="pl-PL"/>
        </w:rPr>
        <w:br/>
        <w:t xml:space="preserve">oraz ADEDY przeciwko Grecji </w:t>
      </w:r>
    </w:p>
    <w:p w:rsidR="00A2020D" w:rsidRPr="00DA11E9" w:rsidRDefault="00A2020D" w:rsidP="00DD4576">
      <w:pPr>
        <w:spacing w:after="120"/>
        <w:jc w:val="both"/>
        <w:rPr>
          <w:lang w:val="pl-PL"/>
        </w:rPr>
      </w:pPr>
      <w:r w:rsidRPr="00DA11E9">
        <w:rPr>
          <w:lang w:val="pl-PL"/>
        </w:rPr>
        <w:t>Europejski Trybunał Praw Człowieka (Pierwsza Sekcja), zasiadając w dniu 7 maja 2013 r. jako Izba w składzie:</w:t>
      </w:r>
    </w:p>
    <w:p w:rsidR="00A2020D" w:rsidRPr="00DA11E9" w:rsidRDefault="00A2020D" w:rsidP="00DA11E9">
      <w:pPr>
        <w:rPr>
          <w:lang w:val="fr-FR"/>
        </w:rPr>
      </w:pPr>
      <w:r w:rsidRPr="00DA11E9">
        <w:rPr>
          <w:rStyle w:val="JuJudgesChar"/>
          <w:lang w:val="fr-FR"/>
        </w:rPr>
        <w:tab/>
      </w:r>
      <w:r>
        <w:rPr>
          <w:rStyle w:val="JuJudgesChar"/>
          <w:lang w:val="fr-FR"/>
        </w:rPr>
        <w:t xml:space="preserve">  </w:t>
      </w:r>
      <w:r w:rsidRPr="00DA11E9">
        <w:rPr>
          <w:lang w:val="fr-FR"/>
        </w:rPr>
        <w:t xml:space="preserve">Pani Isabelle Berro-Lefèvre, </w:t>
      </w:r>
      <w:r w:rsidRPr="00DD4576">
        <w:rPr>
          <w:i/>
          <w:iCs/>
          <w:lang w:val="fr-FR"/>
        </w:rPr>
        <w:t>Przewodnicząca,</w:t>
      </w:r>
      <w:r w:rsidRPr="00DA11E9">
        <w:rPr>
          <w:lang w:val="fr-FR"/>
        </w:rPr>
        <w:br/>
        <w:t>              Pani Mirjana Lazarova Trajkovska,</w:t>
      </w:r>
      <w:r w:rsidRPr="00DA11E9">
        <w:rPr>
          <w:lang w:val="fr-FR"/>
        </w:rPr>
        <w:br/>
        <w:t>              Pani Julia Laffranque,</w:t>
      </w:r>
      <w:r w:rsidRPr="00DA11E9">
        <w:rPr>
          <w:lang w:val="fr-FR"/>
        </w:rPr>
        <w:br/>
        <w:t>              Pan Linos-Alexandre Sicilianos,</w:t>
      </w:r>
      <w:r w:rsidRPr="00DA11E9">
        <w:rPr>
          <w:lang w:val="fr-FR"/>
        </w:rPr>
        <w:br/>
        <w:t>              Pan Erik Møse,</w:t>
      </w:r>
      <w:r w:rsidRPr="00DA11E9">
        <w:rPr>
          <w:lang w:val="fr-FR"/>
        </w:rPr>
        <w:br/>
        <w:t>              Pani Ksenija Turković,</w:t>
      </w:r>
      <w:r w:rsidRPr="00DA11E9">
        <w:rPr>
          <w:lang w:val="fr-FR"/>
        </w:rPr>
        <w:br/>
        <w:t xml:space="preserve">              Pan Dmitry Dedov, </w:t>
      </w:r>
      <w:r w:rsidRPr="00DD4576">
        <w:rPr>
          <w:i/>
          <w:iCs/>
          <w:lang w:val="fr-FR"/>
        </w:rPr>
        <w:t>sędziowie,</w:t>
      </w:r>
    </w:p>
    <w:p w:rsidR="00A2020D" w:rsidRPr="00DA11E9" w:rsidRDefault="00A2020D" w:rsidP="00DA11E9">
      <w:pPr>
        <w:rPr>
          <w:lang w:val="pl-PL"/>
        </w:rPr>
      </w:pPr>
      <w:r w:rsidRPr="00DA11E9">
        <w:rPr>
          <w:lang w:val="pl-PL"/>
        </w:rPr>
        <w:t xml:space="preserve">oraz Pan André Wampach, </w:t>
      </w:r>
      <w:r w:rsidRPr="00DA11E9">
        <w:rPr>
          <w:i/>
          <w:iCs/>
          <w:lang w:val="pl-PL"/>
        </w:rPr>
        <w:t>Zastępca Kanclerza Sekcji</w:t>
      </w:r>
      <w:r w:rsidRPr="00DA11E9">
        <w:rPr>
          <w:lang w:val="pl-PL"/>
        </w:rPr>
        <w:t>,</w:t>
      </w:r>
    </w:p>
    <w:p w:rsidR="00A2020D" w:rsidRDefault="00A2020D" w:rsidP="00DA11E9">
      <w:pPr>
        <w:rPr>
          <w:lang w:val="pl-PL"/>
        </w:rPr>
      </w:pPr>
    </w:p>
    <w:p w:rsidR="00A2020D" w:rsidRPr="00DA11E9" w:rsidRDefault="00A2020D" w:rsidP="0079383C">
      <w:pPr>
        <w:spacing w:after="120"/>
        <w:jc w:val="both"/>
        <w:rPr>
          <w:lang w:val="pl-PL"/>
        </w:rPr>
      </w:pPr>
      <w:r w:rsidRPr="00DA11E9">
        <w:rPr>
          <w:lang w:val="pl-PL"/>
        </w:rPr>
        <w:t>W oparciu o wspomniane wyżej skargi, wniesione do Europejskiego Tryb</w:t>
      </w:r>
      <w:r>
        <w:rPr>
          <w:lang w:val="pl-PL"/>
        </w:rPr>
        <w:t>u</w:t>
      </w:r>
      <w:r w:rsidRPr="00DA11E9">
        <w:rPr>
          <w:lang w:val="pl-PL"/>
        </w:rPr>
        <w:t xml:space="preserve">nału Praw Człowieka w dniu 31 sierpnia 2012 r.,  </w:t>
      </w:r>
    </w:p>
    <w:p w:rsidR="00A2020D" w:rsidRDefault="00A2020D" w:rsidP="00DD4576">
      <w:pPr>
        <w:spacing w:after="120"/>
        <w:rPr>
          <w:lang w:val="pl-PL"/>
        </w:rPr>
      </w:pPr>
      <w:r w:rsidRPr="00DA11E9">
        <w:rPr>
          <w:lang w:val="pl-PL"/>
        </w:rPr>
        <w:t>Po narad</w:t>
      </w:r>
      <w:r>
        <w:rPr>
          <w:lang w:val="pl-PL"/>
        </w:rPr>
        <w:t>zie, wydaje następującą decyzję</w:t>
      </w:r>
    </w:p>
    <w:p w:rsidR="00A2020D" w:rsidRPr="00DA11E9" w:rsidRDefault="00A2020D" w:rsidP="00DA11E9">
      <w:pPr>
        <w:rPr>
          <w:lang w:val="pl-PL"/>
        </w:rPr>
      </w:pPr>
      <w:r w:rsidRPr="00DA11E9">
        <w:rPr>
          <w:lang w:val="pl-PL"/>
        </w:rPr>
        <w:t xml:space="preserve"> </w:t>
      </w:r>
      <w:r w:rsidRPr="00DA11E9">
        <w:rPr>
          <w:rStyle w:val="sb8d990e2"/>
          <w:lang w:val="pl-PL"/>
        </w:rPr>
        <w:t xml:space="preserve">        </w:t>
      </w:r>
    </w:p>
    <w:p w:rsidR="00A2020D" w:rsidRPr="00550EDF" w:rsidRDefault="00A2020D">
      <w:pPr>
        <w:pStyle w:val="JuHHead"/>
        <w:spacing w:before="0"/>
        <w:rPr>
          <w:lang w:val="pl-PL"/>
        </w:rPr>
      </w:pPr>
      <w:r w:rsidRPr="00550EDF">
        <w:rPr>
          <w:lang w:val="pl-PL"/>
        </w:rPr>
        <w:t>FAKTY</w:t>
      </w:r>
    </w:p>
    <w:p w:rsidR="00A2020D" w:rsidRPr="00B316B4" w:rsidRDefault="00A2020D" w:rsidP="00FE3306">
      <w:pPr>
        <w:pStyle w:val="JuPara"/>
        <w:rPr>
          <w:lang w:val="pl-PL"/>
        </w:rPr>
      </w:pPr>
      <w:r w:rsidRPr="00B316B4">
        <w:rPr>
          <w:lang w:val="pl-PL"/>
        </w:rPr>
        <w:fldChar w:fldCharType="begin"/>
      </w:r>
      <w:r w:rsidRPr="00B316B4">
        <w:rPr>
          <w:lang w:val="pl-PL"/>
        </w:rPr>
        <w:instrText xml:space="preserve"> SEQ level0 \*arabic </w:instrText>
      </w:r>
      <w:r w:rsidRPr="00B316B4">
        <w:rPr>
          <w:lang w:val="pl-PL"/>
        </w:rPr>
        <w:fldChar w:fldCharType="separate"/>
      </w:r>
      <w:r w:rsidRPr="00B316B4">
        <w:rPr>
          <w:noProof/>
          <w:lang w:val="pl-PL"/>
        </w:rPr>
        <w:t>1</w:t>
      </w:r>
      <w:r w:rsidRPr="00B316B4">
        <w:rPr>
          <w:lang w:val="pl-PL"/>
        </w:rPr>
        <w:fldChar w:fldCharType="end"/>
      </w:r>
      <w:r w:rsidRPr="00B316B4">
        <w:rPr>
          <w:lang w:val="pl-PL"/>
        </w:rPr>
        <w:t xml:space="preserve">.  Pierwsza </w:t>
      </w:r>
      <w:r w:rsidRPr="00B316B4">
        <w:rPr>
          <w:noProof/>
          <w:lang w:val="pl-PL"/>
        </w:rPr>
        <w:t>skarżąca, pani Ioanna Koufaki, jest obywatelką Grecji, urodziła się w roku 1967 i mieszka w Atenach. Przed Trybunałem skarżącą reprezentowali pan I. Adamopoulos, pan V. Chirdaris i pan A. Argyros, prawnicy praktykujący w Atenach. Drugą skarżącą jest Konfederacja Związków Zawodowych Sektora Publicznego (ADEDY). Przed Trybunałem reprezentowali ją pani M.</w:t>
      </w:r>
      <w:r w:rsidRPr="00B316B4">
        <w:rPr>
          <w:noProof/>
          <w:lang w:val="pl-PL"/>
        </w:rPr>
        <w:noBreakHyphen/>
        <w:t>M. Tsipra i pan M. Miliarakis, prawnicy praktykujący w Atenach.</w:t>
      </w:r>
    </w:p>
    <w:p w:rsidR="00A2020D" w:rsidRPr="00B316B4" w:rsidRDefault="00A2020D">
      <w:pPr>
        <w:pStyle w:val="JuHA"/>
        <w:rPr>
          <w:lang w:val="pl-PL"/>
        </w:rPr>
      </w:pPr>
      <w:r w:rsidRPr="00B316B4">
        <w:rPr>
          <w:lang w:val="pl-PL"/>
        </w:rPr>
        <w:t>A.</w:t>
      </w:r>
      <w:r w:rsidRPr="00B316B4">
        <w:rPr>
          <w:b w:val="0"/>
          <w:bCs w:val="0"/>
          <w:lang w:val="pl-PL"/>
        </w:rPr>
        <w:t>  </w:t>
      </w:r>
      <w:r w:rsidRPr="00B316B4">
        <w:rPr>
          <w:lang w:val="pl-PL"/>
        </w:rPr>
        <w:t>Okoliczności sprawy</w:t>
      </w:r>
    </w:p>
    <w:p w:rsidR="00A2020D" w:rsidRPr="00B316B4" w:rsidRDefault="00A2020D">
      <w:pPr>
        <w:pStyle w:val="JuPara"/>
        <w:rPr>
          <w:lang w:val="pl-PL"/>
        </w:rPr>
      </w:pPr>
      <w:r w:rsidRPr="00B316B4">
        <w:rPr>
          <w:lang w:val="pl-PL"/>
        </w:rPr>
        <w:fldChar w:fldCharType="begin"/>
      </w:r>
      <w:r w:rsidRPr="00B316B4">
        <w:rPr>
          <w:lang w:val="pl-PL"/>
        </w:rPr>
        <w:instrText xml:space="preserve"> SEQ level0 \*arabic </w:instrText>
      </w:r>
      <w:r w:rsidRPr="00B316B4">
        <w:rPr>
          <w:lang w:val="pl-PL"/>
        </w:rPr>
        <w:fldChar w:fldCharType="separate"/>
      </w:r>
      <w:r w:rsidRPr="00B316B4">
        <w:rPr>
          <w:noProof/>
          <w:lang w:val="pl-PL"/>
        </w:rPr>
        <w:t>2</w:t>
      </w:r>
      <w:r w:rsidRPr="00B316B4">
        <w:rPr>
          <w:lang w:val="pl-PL"/>
        </w:rPr>
        <w:fldChar w:fldCharType="end"/>
      </w:r>
      <w:r w:rsidRPr="00B316B4">
        <w:rPr>
          <w:lang w:val="pl-PL"/>
        </w:rPr>
        <w:t>.  Okoliczności sprawy przedstawione przez skarżące można podsumować w następujący sposób.</w:t>
      </w:r>
    </w:p>
    <w:p w:rsidR="00A2020D" w:rsidRPr="00B316B4" w:rsidRDefault="00A2020D">
      <w:pPr>
        <w:pStyle w:val="JuPara"/>
        <w:rPr>
          <w:lang w:val="pl-PL"/>
        </w:rPr>
      </w:pPr>
      <w:r w:rsidRPr="00B316B4">
        <w:rPr>
          <w:lang w:val="pl-PL"/>
        </w:rPr>
        <w:fldChar w:fldCharType="begin"/>
      </w:r>
      <w:r w:rsidRPr="00B316B4">
        <w:rPr>
          <w:lang w:val="pl-PL"/>
        </w:rPr>
        <w:instrText xml:space="preserve"> SEQ level0 \*arabic </w:instrText>
      </w:r>
      <w:r w:rsidRPr="00B316B4">
        <w:rPr>
          <w:lang w:val="pl-PL"/>
        </w:rPr>
        <w:fldChar w:fldCharType="separate"/>
      </w:r>
      <w:r w:rsidRPr="00B316B4">
        <w:rPr>
          <w:noProof/>
          <w:lang w:val="pl-PL"/>
        </w:rPr>
        <w:t>3</w:t>
      </w:r>
      <w:r w:rsidRPr="00B316B4">
        <w:rPr>
          <w:lang w:val="pl-PL"/>
        </w:rPr>
        <w:fldChar w:fldCharType="end"/>
      </w:r>
      <w:r w:rsidRPr="00B316B4">
        <w:rPr>
          <w:lang w:val="pl-PL"/>
        </w:rPr>
        <w:t xml:space="preserve">.  Pierwsza skarżąca jest członkiem Ateńskiej Izby Adwokackiej, a od 2 marca 2001 roku należy do personelu naukowego Biura Rzecznika Praw Obywatelskich Grecji. W dniu tym rozpoczęła zatrudnienie na </w:t>
      </w:r>
      <w:r>
        <w:rPr>
          <w:lang w:val="pl-PL"/>
        </w:rPr>
        <w:t>mocy</w:t>
      </w:r>
      <w:r w:rsidRPr="00B316B4">
        <w:rPr>
          <w:lang w:val="pl-PL"/>
        </w:rPr>
        <w:t xml:space="preserve"> umowy </w:t>
      </w:r>
      <w:r>
        <w:rPr>
          <w:lang w:val="pl-PL"/>
        </w:rPr>
        <w:t xml:space="preserve">na podstawie </w:t>
      </w:r>
      <w:r w:rsidRPr="00B316B4">
        <w:rPr>
          <w:lang w:val="pl-PL"/>
        </w:rPr>
        <w:t>prawa prywatnego zawartej początkowo na okres pięciu lat, a następnie na czas nieokreślony. Jej płacę regulowały Ustawy nr 2477/1997 oraz 3205/2003 w sprawie zasad wynagradzania za pracę członków służby publicznej i pracowników sektora publicznego. W dniu 10 kwietnia 2012 roku skarżąca została oddelegowana do wydziału centralnego Greckiej Izby Technicznej (</w:t>
      </w:r>
      <w:r w:rsidRPr="00B316B4">
        <w:rPr>
          <w:i/>
          <w:iCs/>
          <w:lang w:val="pl-PL"/>
        </w:rPr>
        <w:t>Techniko Epimelitirio Ellados</w:t>
      </w:r>
      <w:r w:rsidRPr="00B316B4">
        <w:rPr>
          <w:lang w:val="pl-PL"/>
        </w:rPr>
        <w:t>), podmiotu posiadającego zdolność prawną i podlegające</w:t>
      </w:r>
      <w:r>
        <w:rPr>
          <w:lang w:val="pl-PL"/>
        </w:rPr>
        <w:t>go</w:t>
      </w:r>
      <w:r w:rsidRPr="00B316B4">
        <w:rPr>
          <w:lang w:val="pl-PL"/>
        </w:rPr>
        <w:t xml:space="preserve"> prawu publicznemu.</w:t>
      </w:r>
    </w:p>
    <w:p w:rsidR="00A2020D" w:rsidRPr="00B316B4" w:rsidRDefault="00A2020D">
      <w:pPr>
        <w:pStyle w:val="JuPara"/>
        <w:rPr>
          <w:lang w:val="pl-PL"/>
        </w:rPr>
      </w:pPr>
      <w:r w:rsidRPr="00B316B4">
        <w:rPr>
          <w:lang w:val="pl-PL"/>
        </w:rPr>
        <w:fldChar w:fldCharType="begin"/>
      </w:r>
      <w:r w:rsidRPr="00B316B4">
        <w:rPr>
          <w:lang w:val="pl-PL"/>
        </w:rPr>
        <w:instrText xml:space="preserve"> SEQ level0 \*arabic </w:instrText>
      </w:r>
      <w:r w:rsidRPr="00B316B4">
        <w:rPr>
          <w:lang w:val="pl-PL"/>
        </w:rPr>
        <w:fldChar w:fldCharType="separate"/>
      </w:r>
      <w:r w:rsidRPr="00B316B4">
        <w:rPr>
          <w:noProof/>
          <w:lang w:val="pl-PL"/>
        </w:rPr>
        <w:t>4</w:t>
      </w:r>
      <w:r w:rsidRPr="00B316B4">
        <w:rPr>
          <w:lang w:val="pl-PL"/>
        </w:rPr>
        <w:fldChar w:fldCharType="end"/>
      </w:r>
      <w:r w:rsidRPr="00B316B4">
        <w:rPr>
          <w:lang w:val="pl-PL"/>
        </w:rPr>
        <w:t>.  Drugą skarżącą jest organizacja związków zawodowych reprezentująca kilka związków zawodowych pracowników sektora publicznego zatrudnionych na stałe lub na mocy prawa prywatnego przez państwo, korporacje podlegające prawu publicznemu oraz władze lokalne i regionalne. Jej głównym celem jest o</w:t>
      </w:r>
      <w:r>
        <w:rPr>
          <w:lang w:val="pl-PL"/>
        </w:rPr>
        <w:t>ch</w:t>
      </w:r>
      <w:r w:rsidRPr="00B316B4">
        <w:rPr>
          <w:lang w:val="pl-PL"/>
        </w:rPr>
        <w:t>rona interesów ekonomicznych, społecznych i zawodowych pracowników sektora publicznego, w tym w zakresie kwestii dotyczących emerytur.</w:t>
      </w:r>
    </w:p>
    <w:p w:rsidR="00A2020D" w:rsidRPr="00B316B4" w:rsidRDefault="00A2020D">
      <w:pPr>
        <w:pStyle w:val="JuPara"/>
        <w:rPr>
          <w:lang w:val="pl-PL"/>
        </w:rPr>
      </w:pPr>
      <w:r w:rsidRPr="00B316B4">
        <w:rPr>
          <w:lang w:val="pl-PL"/>
        </w:rPr>
        <w:fldChar w:fldCharType="begin"/>
      </w:r>
      <w:r w:rsidRPr="00B316B4">
        <w:rPr>
          <w:lang w:val="pl-PL"/>
        </w:rPr>
        <w:instrText xml:space="preserve"> SEQ level0 \*arabic </w:instrText>
      </w:r>
      <w:r w:rsidRPr="00B316B4">
        <w:rPr>
          <w:lang w:val="pl-PL"/>
        </w:rPr>
        <w:fldChar w:fldCharType="separate"/>
      </w:r>
      <w:r w:rsidRPr="00B316B4">
        <w:rPr>
          <w:noProof/>
          <w:lang w:val="pl-PL"/>
        </w:rPr>
        <w:t>5</w:t>
      </w:r>
      <w:r w:rsidRPr="00B316B4">
        <w:rPr>
          <w:lang w:val="pl-PL"/>
        </w:rPr>
        <w:fldChar w:fldCharType="end"/>
      </w:r>
      <w:r w:rsidRPr="00B316B4">
        <w:rPr>
          <w:lang w:val="pl-PL"/>
        </w:rPr>
        <w:t>. W dniu 15 marca 2010 roku w Dzienniku Urzędowym opublikowana została Ustawa nr 3833/2010 o następującym tytule: „Ochrona krajowej gospodarki – Pilne środki w odpowiedzi na kryzy</w:t>
      </w:r>
      <w:r>
        <w:rPr>
          <w:lang w:val="pl-PL"/>
        </w:rPr>
        <w:t>s</w:t>
      </w:r>
      <w:r w:rsidRPr="00B316B4">
        <w:rPr>
          <w:lang w:val="pl-PL"/>
        </w:rPr>
        <w:t xml:space="preserve"> finansowy”... Na </w:t>
      </w:r>
      <w:r>
        <w:rPr>
          <w:lang w:val="pl-PL"/>
        </w:rPr>
        <w:t>mocy</w:t>
      </w:r>
      <w:r w:rsidRPr="00B316B4">
        <w:rPr>
          <w:lang w:val="pl-PL"/>
        </w:rPr>
        <w:t xml:space="preserve"> Ustawy płace osób pracujących w sektorze publicznym zostały obniżone – bez względu na status ich zatrudnienia – o 12% do 30%, niezależnie od jakichkolwiek innych przepisów szczegółowych bądź ogólnych, układów zbiorowych, orzeczeń arbitrażowych, czy też indywidualnych umów lub kontraktów (paragraf 1). Ustanowiono w niej nowy pułap płacowy obowiązujący w stosunku do wszystkich osób pracujących w sektorze publicznym (paragraf 2) oraz określono politykę dochodową rządu na rok 2010. Wspomniane powyżej obniżki miały obowiązywać z mocą wsteczną od 1 stycznia i 1 marca 2010 roku.</w:t>
      </w:r>
    </w:p>
    <w:p w:rsidR="00A2020D" w:rsidRPr="00B316B4" w:rsidRDefault="00A2020D" w:rsidP="00C63572">
      <w:pPr>
        <w:pStyle w:val="JuPara"/>
        <w:rPr>
          <w:lang w:val="pl-PL"/>
        </w:rPr>
      </w:pPr>
      <w:r w:rsidRPr="00B316B4">
        <w:rPr>
          <w:lang w:val="pl-PL"/>
        </w:rPr>
        <w:fldChar w:fldCharType="begin"/>
      </w:r>
      <w:r w:rsidRPr="00B316B4">
        <w:rPr>
          <w:lang w:val="pl-PL"/>
        </w:rPr>
        <w:instrText xml:space="preserve"> SEQ level0 \*arabic </w:instrText>
      </w:r>
      <w:r w:rsidRPr="00B316B4">
        <w:rPr>
          <w:lang w:val="pl-PL"/>
        </w:rPr>
        <w:fldChar w:fldCharType="separate"/>
      </w:r>
      <w:r w:rsidRPr="00B316B4">
        <w:rPr>
          <w:noProof/>
          <w:lang w:val="pl-PL"/>
        </w:rPr>
        <w:t>6</w:t>
      </w:r>
      <w:r w:rsidRPr="00B316B4">
        <w:rPr>
          <w:lang w:val="pl-PL"/>
        </w:rPr>
        <w:fldChar w:fldCharType="end"/>
      </w:r>
      <w:r w:rsidRPr="00B316B4">
        <w:rPr>
          <w:lang w:val="pl-PL"/>
        </w:rPr>
        <w:t>.  W dniu 3 maja 2010 roku Minister Finansów i Gubernator Banku Grecji, reprezentujący Republikę Grecką, oraz Komisarz Unii Europejskiej ds. Gospodarczych i Walutowych podpisali porozumienie. W dokumencie tym szczegółowo określono działania składające się na trzyletni program przygotowany przez władze Grecji po konsultacji z Komisją Europejską, Europejskim Bankiem Centralnym i Międzynarodowym Funduszem Walutowym. Zgodnie z nim, m.in. „[p]olityki w zakresie dochodów i ubezpieczenia społecznego muszą wzmacniać działania na rzecz dostosowań fiskalnych i przywrócenia konkurencyjności. Dostosowanie dochodów do zrównoważonych poziomów jest niezbędne, aby wspomóc korektę budżetową, wesprzeć obniżenie inflacji poniżej średniej dla strefy euro oraz poprawić konkurencyjność cenową i kosztową w sposób trwały.” W dokumencie stwierdzono</w:t>
      </w:r>
      <w:r>
        <w:rPr>
          <w:lang w:val="pl-PL"/>
        </w:rPr>
        <w:t>, co następuje</w:t>
      </w:r>
      <w:r w:rsidRPr="00B316B4">
        <w:rPr>
          <w:lang w:val="pl-PL"/>
        </w:rPr>
        <w:t>:</w:t>
      </w:r>
    </w:p>
    <w:p w:rsidR="00A2020D" w:rsidRPr="00B316B4" w:rsidRDefault="00A2020D" w:rsidP="00C63572">
      <w:pPr>
        <w:pStyle w:val="JuQuot"/>
        <w:rPr>
          <w:lang w:val="pl-PL"/>
        </w:rPr>
      </w:pPr>
      <w:r w:rsidRPr="00B316B4">
        <w:rPr>
          <w:lang w:val="pl-PL"/>
        </w:rPr>
        <w:t xml:space="preserve">„Rząd dąży do sprawiedliwego rozłożenia ciężaru działań dostosowawczych. </w:t>
      </w:r>
      <w:r>
        <w:rPr>
          <w:lang w:val="pl-PL"/>
        </w:rPr>
        <w:t>P</w:t>
      </w:r>
      <w:r w:rsidRPr="00B316B4">
        <w:rPr>
          <w:lang w:val="pl-PL"/>
        </w:rPr>
        <w:t>rzy projektowaniu polityk w tym zakresie wzięto pod uwagę decyzję, by chronić przed skutkami pogorszenia koniunktury tych, którzy</w:t>
      </w:r>
      <w:r>
        <w:rPr>
          <w:lang w:val="pl-PL"/>
        </w:rPr>
        <w:t xml:space="preserve"> należą do najsłabszych grup w społeczeństwie</w:t>
      </w:r>
      <w:r w:rsidRPr="00B316B4">
        <w:rPr>
          <w:lang w:val="pl-PL"/>
        </w:rPr>
        <w:t>. W ramach konsolidacji finansów rządowych większy wkład w te działania będ</w:t>
      </w:r>
      <w:r>
        <w:rPr>
          <w:lang w:val="pl-PL"/>
        </w:rPr>
        <w:t>ą</w:t>
      </w:r>
      <w:r w:rsidRPr="00B316B4">
        <w:rPr>
          <w:lang w:val="pl-PL"/>
        </w:rPr>
        <w:t xml:space="preserve"> mieli ci, którzy dotąd </w:t>
      </w:r>
      <w:r>
        <w:rPr>
          <w:lang w:val="pl-PL"/>
        </w:rPr>
        <w:t xml:space="preserve">tradycyjnie </w:t>
      </w:r>
      <w:r w:rsidRPr="00B316B4">
        <w:rPr>
          <w:lang w:val="pl-PL"/>
        </w:rPr>
        <w:t xml:space="preserve">nie mieli należnego udziału w obciążeniu podatkowym. Jeśli idzie o obniżenie płac w sektorze publicznym i emerytur, zapewniono ochronę osobom o minimalnych dochodach: [w zakresie] obniżek emerytur: w przypadku osób, którzy otrzymują miesięcznie kwoty niższe niż 2.500 euro, zniesienie </w:t>
      </w:r>
      <w:r>
        <w:rPr>
          <w:lang w:val="pl-PL"/>
        </w:rPr>
        <w:t xml:space="preserve">trzynastej i czternastej </w:t>
      </w:r>
      <w:r w:rsidRPr="00B316B4">
        <w:rPr>
          <w:lang w:val="pl-PL"/>
        </w:rPr>
        <w:t xml:space="preserve">emerytury zrekompensowano poprzez wprowadzenie nowej premii w stałej wysokości 800 euro rocznie. Ograniczeniem wysokości świadczeń obciążono zatem tych, którzy otrzymują wyższe emerytury. Obniżenie funduszu płac. Zniesione zostają wypłaty </w:t>
      </w:r>
      <w:r>
        <w:rPr>
          <w:lang w:val="pl-PL"/>
        </w:rPr>
        <w:t xml:space="preserve">trzynastej i czternastej </w:t>
      </w:r>
      <w:r w:rsidRPr="00B316B4">
        <w:rPr>
          <w:lang w:val="pl-PL"/>
        </w:rPr>
        <w:t>pensji w stosunku do wszystkich pracowników. Z myślą o ochronie osób o niższych dochodach, również w tym przypadku w odniesieniu do osób, które otrzymują mniej niż 3.000 euro miesięcznie, wprowadzona zostanie premia w stałej wysokości 1.000 euro rocznie, która zostanie sfinansowana dzięki cięciom dodatków płacowych dla segmentów o wyższych dochodach.”</w:t>
      </w:r>
    </w:p>
    <w:p w:rsidR="00A2020D" w:rsidRPr="00B316B4" w:rsidRDefault="00A2020D" w:rsidP="00117565">
      <w:pPr>
        <w:pStyle w:val="JuPara"/>
        <w:rPr>
          <w:lang w:val="pl-PL"/>
        </w:rPr>
      </w:pPr>
      <w:r w:rsidRPr="00B316B4">
        <w:rPr>
          <w:lang w:val="pl-PL"/>
        </w:rPr>
        <w:fldChar w:fldCharType="begin"/>
      </w:r>
      <w:r w:rsidRPr="00B316B4">
        <w:rPr>
          <w:lang w:val="pl-PL"/>
        </w:rPr>
        <w:instrText xml:space="preserve"> SEQ level0 \*arabic </w:instrText>
      </w:r>
      <w:r w:rsidRPr="00B316B4">
        <w:rPr>
          <w:lang w:val="pl-PL"/>
        </w:rPr>
        <w:fldChar w:fldCharType="separate"/>
      </w:r>
      <w:r w:rsidRPr="00B316B4">
        <w:rPr>
          <w:noProof/>
          <w:lang w:val="pl-PL"/>
        </w:rPr>
        <w:t>7</w:t>
      </w:r>
      <w:r w:rsidRPr="00B316B4">
        <w:rPr>
          <w:lang w:val="pl-PL"/>
        </w:rPr>
        <w:fldChar w:fldCharType="end"/>
      </w:r>
      <w:r w:rsidRPr="00B316B4">
        <w:rPr>
          <w:lang w:val="pl-PL"/>
        </w:rPr>
        <w:t xml:space="preserve">.  W dniu 6 maja 2010 roku opublikowano Ustawę nr 3845/2010 w sprawie działań na rzecz wprowadzania mechanizmu stabilizacji finansowej strefy euro/MFW dla Grecji, zasadniczo ratyfikując porozumienie w sprawie stosunków między Grecją a krajami członkowskimi należącymi do strefy euro. Na mocy </w:t>
      </w:r>
      <w:r>
        <w:rPr>
          <w:lang w:val="pl-PL"/>
        </w:rPr>
        <w:t>p</w:t>
      </w:r>
      <w:r w:rsidRPr="00B316B4">
        <w:rPr>
          <w:lang w:val="pl-PL"/>
        </w:rPr>
        <w:t xml:space="preserve">aragrafu 3 Ustawy płace w sektorze publicznym zostały obniżone o kolejne 8%. Z kolei w </w:t>
      </w:r>
      <w:r>
        <w:rPr>
          <w:lang w:val="pl-PL"/>
        </w:rPr>
        <w:t>p</w:t>
      </w:r>
      <w:r w:rsidRPr="00B316B4">
        <w:rPr>
          <w:lang w:val="pl-PL"/>
        </w:rPr>
        <w:t>aragrafie 4 podniesiono sta</w:t>
      </w:r>
      <w:r>
        <w:rPr>
          <w:lang w:val="pl-PL"/>
        </w:rPr>
        <w:t>wkę podatku VAT oraz specjalnych podatków konsumpcyjnych</w:t>
      </w:r>
      <w:r w:rsidRPr="00B316B4">
        <w:rPr>
          <w:lang w:val="pl-PL"/>
        </w:rPr>
        <w:t>.</w:t>
      </w:r>
    </w:p>
    <w:p w:rsidR="00A2020D" w:rsidRPr="00550EDF" w:rsidRDefault="00A2020D" w:rsidP="00117565">
      <w:pPr>
        <w:pStyle w:val="JuPara"/>
        <w:rPr>
          <w:lang w:val="pl-PL"/>
        </w:rPr>
      </w:pPr>
      <w:r w:rsidRPr="00550EDF">
        <w:rPr>
          <w:lang w:val="pl-PL"/>
        </w:rPr>
        <w:fldChar w:fldCharType="begin"/>
      </w:r>
      <w:r w:rsidRPr="00550EDF">
        <w:rPr>
          <w:lang w:val="pl-PL"/>
        </w:rPr>
        <w:instrText xml:space="preserve"> SEQ level0 </w:instrText>
      </w:r>
      <w:r>
        <w:rPr>
          <w:lang w:val="pl-PL"/>
        </w:rPr>
        <w:instrText>\</w:instrText>
      </w:r>
      <w:r w:rsidRPr="00550EDF">
        <w:rPr>
          <w:lang w:val="pl-PL"/>
        </w:rPr>
        <w:instrText xml:space="preserve">*arabic </w:instrText>
      </w:r>
      <w:r w:rsidRPr="00550EDF">
        <w:rPr>
          <w:lang w:val="pl-PL"/>
        </w:rPr>
        <w:fldChar w:fldCharType="separate"/>
      </w:r>
      <w:r w:rsidRPr="00550EDF">
        <w:rPr>
          <w:noProof/>
          <w:lang w:val="pl-PL"/>
        </w:rPr>
        <w:t>8</w:t>
      </w:r>
      <w:r w:rsidRPr="00550EDF">
        <w:rPr>
          <w:lang w:val="pl-PL"/>
        </w:rPr>
        <w:fldChar w:fldCharType="end"/>
      </w:r>
      <w:r w:rsidRPr="00550EDF">
        <w:rPr>
          <w:lang w:val="pl-PL"/>
        </w:rPr>
        <w:t>.</w:t>
      </w:r>
      <w:r>
        <w:rPr>
          <w:lang w:val="pl-PL"/>
        </w:rPr>
        <w:t>  </w:t>
      </w:r>
      <w:r w:rsidRPr="00550EDF">
        <w:rPr>
          <w:lang w:val="pl-PL"/>
        </w:rPr>
        <w:t xml:space="preserve">W dniach 8 i 10 maja 2010 roku Minister Finansów podpisał dwie umowy: „Umowę pożyczki między niektórymi krajami członkowskimi należącymi do strefy euro i KfW (jako Pożyczkodawcami) a Republiką Grecką (jako Pożyczkobiorcami) i Bankiem Grecji (jako </w:t>
      </w:r>
      <w:r w:rsidRPr="00F30261">
        <w:rPr>
          <w:lang w:val="pl-PL"/>
        </w:rPr>
        <w:t>Agentem</w:t>
      </w:r>
      <w:r w:rsidRPr="00550EDF">
        <w:rPr>
          <w:lang w:val="pl-PL"/>
        </w:rPr>
        <w:t xml:space="preserve"> Pożyczkobiorcy)” oraz „Promesę kredytową MFW”.</w:t>
      </w:r>
    </w:p>
    <w:p w:rsidR="00A2020D" w:rsidRPr="00550EDF" w:rsidRDefault="00A2020D" w:rsidP="00117565">
      <w:pPr>
        <w:pStyle w:val="JuPara"/>
        <w:rPr>
          <w:lang w:val="pl-PL"/>
        </w:rPr>
      </w:pPr>
      <w:r w:rsidRPr="00550EDF">
        <w:rPr>
          <w:lang w:val="pl-PL"/>
        </w:rPr>
        <w:fldChar w:fldCharType="begin"/>
      </w:r>
      <w:r w:rsidRPr="00550EDF">
        <w:rPr>
          <w:lang w:val="pl-PL"/>
        </w:rPr>
        <w:instrText xml:space="preserve"> SEQ level0 </w:instrText>
      </w:r>
      <w:r>
        <w:rPr>
          <w:lang w:val="pl-PL"/>
        </w:rPr>
        <w:instrText>\</w:instrText>
      </w:r>
      <w:r w:rsidRPr="00550EDF">
        <w:rPr>
          <w:lang w:val="pl-PL"/>
        </w:rPr>
        <w:instrText xml:space="preserve">*arabic </w:instrText>
      </w:r>
      <w:r w:rsidRPr="00550EDF">
        <w:rPr>
          <w:lang w:val="pl-PL"/>
        </w:rPr>
        <w:fldChar w:fldCharType="separate"/>
      </w:r>
      <w:r w:rsidRPr="00550EDF">
        <w:rPr>
          <w:noProof/>
          <w:lang w:val="pl-PL"/>
        </w:rPr>
        <w:t>9</w:t>
      </w:r>
      <w:r w:rsidRPr="00550EDF">
        <w:rPr>
          <w:lang w:val="pl-PL"/>
        </w:rPr>
        <w:fldChar w:fldCharType="end"/>
      </w:r>
      <w:r w:rsidRPr="00550EDF">
        <w:rPr>
          <w:lang w:val="pl-PL"/>
        </w:rPr>
        <w:t>.</w:t>
      </w:r>
      <w:r>
        <w:rPr>
          <w:lang w:val="pl-PL"/>
        </w:rPr>
        <w:t>  </w:t>
      </w:r>
      <w:r w:rsidRPr="00550EDF">
        <w:rPr>
          <w:lang w:val="pl-PL"/>
        </w:rPr>
        <w:t>Na mocy Ustaw nr 3833/2010 oraz 3845/2010 w stosunku do pierwszej skarżącej, która otrzymywała wcześniej miesięczne wynagrodzenie brutto wysokości 3.339 euro (EUR) (tj. wynagrodzenie netto w wysokości 2.435,83 euro), obniżono dodatek specjalny o 20% od 1 stycznia 2010 roku oraz dodatek „wielkanocny” o 30%. Drugi z tych dodatków został następnie zniesiony w całości, wraz dodatkiem „bożonarodzeniowym” i dodatkiem wakacyjnym. Dokładnie rzecz biorąc, wynagrodzenie brutto pierwszej skarżącej składało się z wynagrodzenia zasadniczego w wysokości 2.311 euro, dodatku rodzinnego w wysokości 53 euro, dodatku absolwenckiego w wysokości 45 euro oraz dodatku specjalnego w wysokości 752</w:t>
      </w:r>
      <w:r>
        <w:rPr>
          <w:lang w:val="pl-PL"/>
        </w:rPr>
        <w:t>,</w:t>
      </w:r>
      <w:r w:rsidRPr="00550EDF">
        <w:rPr>
          <w:lang w:val="pl-PL"/>
        </w:rPr>
        <w:t>93 euro, przy czym w dniu 1 stycznia 2008 roku wysokość ostatniego z tych dodatków określono jako 930 euro, a następnie zmniejszono o 12% w dniu 1 stycznia 2010 roku oraz o kolejne 8% w dniu 1 czerwca 2010 roku. Wraz z wejściem w życie Ustawy nr 3845/2010 skarżąca przestała otrzymywać dodatek bożonarodzeniowy, wielkanocny i wakacyjny, co wynikało z faktu, że jej miesięczna płaca ogółem przekraczała 3.000 euro... .</w:t>
      </w:r>
    </w:p>
    <w:p w:rsidR="00A2020D" w:rsidRPr="00550EDF" w:rsidRDefault="00A2020D" w:rsidP="00117565">
      <w:pPr>
        <w:pStyle w:val="JuPara"/>
        <w:rPr>
          <w:lang w:val="pl-PL"/>
        </w:rPr>
      </w:pPr>
      <w:r w:rsidRPr="00550EDF">
        <w:rPr>
          <w:lang w:val="pl-PL"/>
        </w:rPr>
        <w:fldChar w:fldCharType="begin"/>
      </w:r>
      <w:r w:rsidRPr="00550EDF">
        <w:rPr>
          <w:lang w:val="pl-PL"/>
        </w:rPr>
        <w:instrText xml:space="preserve"> SEQ level0 </w:instrText>
      </w:r>
      <w:r>
        <w:rPr>
          <w:lang w:val="pl-PL"/>
        </w:rPr>
        <w:instrText>\</w:instrText>
      </w:r>
      <w:r w:rsidRPr="00550EDF">
        <w:rPr>
          <w:lang w:val="pl-PL"/>
        </w:rPr>
        <w:instrText xml:space="preserve">*arabic </w:instrText>
      </w:r>
      <w:r w:rsidRPr="00550EDF">
        <w:rPr>
          <w:lang w:val="pl-PL"/>
        </w:rPr>
        <w:fldChar w:fldCharType="separate"/>
      </w:r>
      <w:r w:rsidRPr="00550EDF">
        <w:rPr>
          <w:noProof/>
          <w:lang w:val="pl-PL"/>
        </w:rPr>
        <w:t>10</w:t>
      </w:r>
      <w:r w:rsidRPr="00550EDF">
        <w:rPr>
          <w:lang w:val="pl-PL"/>
        </w:rPr>
        <w:fldChar w:fldCharType="end"/>
      </w:r>
      <w:r w:rsidRPr="00550EDF">
        <w:rPr>
          <w:lang w:val="pl-PL"/>
        </w:rPr>
        <w:t>.</w:t>
      </w:r>
      <w:r>
        <w:rPr>
          <w:lang w:val="pl-PL"/>
        </w:rPr>
        <w:t>  </w:t>
      </w:r>
      <w:r w:rsidRPr="00550EDF">
        <w:rPr>
          <w:lang w:val="pl-PL"/>
        </w:rPr>
        <w:t>Za sprawą Ustawy nr 3847/2010 obniżono wysokość tych dodatków dla emerytowanych pracowników sektora publicznego oraz zniesiono je całkowicie w przypadku osób poniżej sześćdziesiątego roku życia.</w:t>
      </w:r>
    </w:p>
    <w:p w:rsidR="00A2020D" w:rsidRPr="00550EDF" w:rsidRDefault="00A2020D" w:rsidP="00117565">
      <w:pPr>
        <w:pStyle w:val="JuPara"/>
        <w:rPr>
          <w:lang w:val="pl-PL"/>
        </w:rPr>
      </w:pPr>
      <w:r w:rsidRPr="00550EDF">
        <w:rPr>
          <w:lang w:val="pl-PL"/>
        </w:rPr>
        <w:fldChar w:fldCharType="begin"/>
      </w:r>
      <w:r w:rsidRPr="00550EDF">
        <w:rPr>
          <w:lang w:val="pl-PL"/>
        </w:rPr>
        <w:instrText xml:space="preserve"> SEQ level0 </w:instrText>
      </w:r>
      <w:r>
        <w:rPr>
          <w:lang w:val="pl-PL"/>
        </w:rPr>
        <w:instrText>\</w:instrText>
      </w:r>
      <w:r w:rsidRPr="00550EDF">
        <w:rPr>
          <w:lang w:val="pl-PL"/>
        </w:rPr>
        <w:instrText xml:space="preserve">*arabic </w:instrText>
      </w:r>
      <w:r w:rsidRPr="00550EDF">
        <w:rPr>
          <w:lang w:val="pl-PL"/>
        </w:rPr>
        <w:fldChar w:fldCharType="separate"/>
      </w:r>
      <w:r w:rsidRPr="00550EDF">
        <w:rPr>
          <w:noProof/>
          <w:lang w:val="pl-PL"/>
        </w:rPr>
        <w:t>11</w:t>
      </w:r>
      <w:r w:rsidRPr="00550EDF">
        <w:rPr>
          <w:lang w:val="pl-PL"/>
        </w:rPr>
        <w:fldChar w:fldCharType="end"/>
      </w:r>
      <w:r w:rsidRPr="00550EDF">
        <w:rPr>
          <w:lang w:val="pl-PL"/>
        </w:rPr>
        <w:t>.</w:t>
      </w:r>
      <w:r>
        <w:rPr>
          <w:lang w:val="pl-PL"/>
        </w:rPr>
        <w:t>  </w:t>
      </w:r>
      <w:r w:rsidRPr="00550EDF">
        <w:rPr>
          <w:lang w:val="pl-PL"/>
        </w:rPr>
        <w:t xml:space="preserve">W dniu 26 lipca 2010 roku skarżące oraz inne osoby zwróciły się do Naczelnego Sądu Administracyjnego: pierwsza skarżąca wniosła o kontrolę sądową jej odcinka płacowego, podczas gdy druga skarżąca domagała się kontroli sądowej niekorzystnego wpływu, jakie powyżej wymienione ustawy </w:t>
      </w:r>
      <w:r>
        <w:rPr>
          <w:lang w:val="pl-PL"/>
        </w:rPr>
        <w:t>będą miały</w:t>
      </w:r>
      <w:r w:rsidRPr="00550EDF">
        <w:rPr>
          <w:lang w:val="pl-PL"/>
        </w:rPr>
        <w:t xml:space="preserve"> na sytuację finansową jej członków. Osoby składające skargi podnosiły, że przedmiotowe ustawy </w:t>
      </w:r>
      <w:r>
        <w:rPr>
          <w:lang w:val="pl-PL"/>
        </w:rPr>
        <w:t>są</w:t>
      </w:r>
      <w:r w:rsidRPr="00550EDF">
        <w:rPr>
          <w:lang w:val="pl-PL"/>
        </w:rPr>
        <w:t xml:space="preserve"> sprzeczne z Konstytucją oraz różnymi instrumentami międzynarodowymi, w tym art. 1 Protokołu nr 1.</w:t>
      </w:r>
    </w:p>
    <w:p w:rsidR="00A2020D" w:rsidRPr="00550EDF" w:rsidRDefault="00A2020D" w:rsidP="00117565">
      <w:pPr>
        <w:pStyle w:val="JuPara"/>
        <w:rPr>
          <w:lang w:val="pl-PL"/>
        </w:rPr>
      </w:pPr>
      <w:r w:rsidRPr="00550EDF">
        <w:rPr>
          <w:lang w:val="pl-PL"/>
        </w:rPr>
        <w:fldChar w:fldCharType="begin"/>
      </w:r>
      <w:r w:rsidRPr="00550EDF">
        <w:rPr>
          <w:lang w:val="pl-PL"/>
        </w:rPr>
        <w:instrText xml:space="preserve"> SEQ level0 </w:instrText>
      </w:r>
      <w:r>
        <w:rPr>
          <w:lang w:val="pl-PL"/>
        </w:rPr>
        <w:instrText>\</w:instrText>
      </w:r>
      <w:r w:rsidRPr="00550EDF">
        <w:rPr>
          <w:lang w:val="pl-PL"/>
        </w:rPr>
        <w:instrText xml:space="preserve">*arabic </w:instrText>
      </w:r>
      <w:r w:rsidRPr="00550EDF">
        <w:rPr>
          <w:lang w:val="pl-PL"/>
        </w:rPr>
        <w:fldChar w:fldCharType="separate"/>
      </w:r>
      <w:r w:rsidRPr="00550EDF">
        <w:rPr>
          <w:noProof/>
          <w:lang w:val="pl-PL"/>
        </w:rPr>
        <w:t>12</w:t>
      </w:r>
      <w:r w:rsidRPr="00550EDF">
        <w:rPr>
          <w:lang w:val="pl-PL"/>
        </w:rPr>
        <w:fldChar w:fldCharType="end"/>
      </w:r>
      <w:r w:rsidRPr="00550EDF">
        <w:rPr>
          <w:lang w:val="pl-PL"/>
        </w:rPr>
        <w:t>.</w:t>
      </w:r>
      <w:r>
        <w:rPr>
          <w:lang w:val="pl-PL"/>
        </w:rPr>
        <w:t>  </w:t>
      </w:r>
      <w:r w:rsidRPr="00550EDF">
        <w:rPr>
          <w:lang w:val="pl-PL"/>
        </w:rPr>
        <w:t>W dniu 20 lutego 2012 roku Naczelny Sąd Administracyjny, obradując w pełnym składzie, od</w:t>
      </w:r>
      <w:r>
        <w:rPr>
          <w:lang w:val="pl-PL"/>
        </w:rPr>
        <w:t>rzucił</w:t>
      </w:r>
      <w:r w:rsidRPr="00550EDF">
        <w:rPr>
          <w:lang w:val="pl-PL"/>
        </w:rPr>
        <w:t xml:space="preserve"> wnioski o kontrolę sądową (wyrok nr 668/2012, </w:t>
      </w:r>
      <w:r w:rsidRPr="00DF1836">
        <w:rPr>
          <w:lang w:val="pl-PL"/>
        </w:rPr>
        <w:t>ostateczny od dnia 2 marca 2012 roku</w:t>
      </w:r>
      <w:r w:rsidRPr="00550EDF">
        <w:rPr>
          <w:lang w:val="pl-PL"/>
        </w:rPr>
        <w:t>). ...</w:t>
      </w:r>
    </w:p>
    <w:p w:rsidR="00A2020D" w:rsidRPr="00550EDF" w:rsidRDefault="00A2020D" w:rsidP="00117565">
      <w:pPr>
        <w:pStyle w:val="JuPara"/>
        <w:rPr>
          <w:lang w:val="pl-PL"/>
        </w:rPr>
      </w:pPr>
      <w:r w:rsidRPr="00550EDF">
        <w:rPr>
          <w:lang w:val="pl-PL"/>
        </w:rPr>
        <w:t>...</w:t>
      </w:r>
    </w:p>
    <w:p w:rsidR="00A2020D" w:rsidRPr="00550EDF" w:rsidRDefault="00A2020D" w:rsidP="00117565">
      <w:pPr>
        <w:pStyle w:val="JuPara"/>
        <w:rPr>
          <w:lang w:val="pl-PL"/>
        </w:rPr>
      </w:pPr>
      <w:r w:rsidRPr="00550EDF">
        <w:rPr>
          <w:lang w:val="pl-PL"/>
        </w:rPr>
        <w:fldChar w:fldCharType="begin"/>
      </w:r>
      <w:r w:rsidRPr="00550EDF">
        <w:rPr>
          <w:lang w:val="pl-PL"/>
        </w:rPr>
        <w:instrText xml:space="preserve"> SEQ level0 </w:instrText>
      </w:r>
      <w:r>
        <w:rPr>
          <w:lang w:val="pl-PL"/>
        </w:rPr>
        <w:instrText>\</w:instrText>
      </w:r>
      <w:r w:rsidRPr="00550EDF">
        <w:rPr>
          <w:lang w:val="pl-PL"/>
        </w:rPr>
        <w:instrText xml:space="preserve">*arabic </w:instrText>
      </w:r>
      <w:r w:rsidRPr="00550EDF">
        <w:rPr>
          <w:lang w:val="pl-PL"/>
        </w:rPr>
        <w:fldChar w:fldCharType="separate"/>
      </w:r>
      <w:r w:rsidRPr="00550EDF">
        <w:rPr>
          <w:noProof/>
          <w:lang w:val="pl-PL"/>
        </w:rPr>
        <w:t>13</w:t>
      </w:r>
      <w:r w:rsidRPr="00550EDF">
        <w:rPr>
          <w:lang w:val="pl-PL"/>
        </w:rPr>
        <w:fldChar w:fldCharType="end"/>
      </w:r>
      <w:r w:rsidRPr="00550EDF">
        <w:rPr>
          <w:lang w:val="pl-PL"/>
        </w:rPr>
        <w:t>.</w:t>
      </w:r>
      <w:r>
        <w:rPr>
          <w:lang w:val="pl-PL"/>
        </w:rPr>
        <w:t>  </w:t>
      </w:r>
      <w:r w:rsidRPr="00550EDF">
        <w:rPr>
          <w:lang w:val="pl-PL"/>
        </w:rPr>
        <w:t xml:space="preserve">Dnia 28 lutego 2012 roku na </w:t>
      </w:r>
      <w:r>
        <w:rPr>
          <w:lang w:val="pl-PL"/>
        </w:rPr>
        <w:t>mocy</w:t>
      </w:r>
      <w:r w:rsidRPr="00550EDF">
        <w:rPr>
          <w:lang w:val="pl-PL"/>
        </w:rPr>
        <w:t xml:space="preserve"> decyzji administracyjnej przyjętej na</w:t>
      </w:r>
      <w:r>
        <w:rPr>
          <w:lang w:val="pl-PL"/>
        </w:rPr>
        <w:t xml:space="preserve"> podstawie</w:t>
      </w:r>
      <w:r w:rsidRPr="00550EDF">
        <w:rPr>
          <w:lang w:val="pl-PL"/>
        </w:rPr>
        <w:t xml:space="preserve"> Ustawy Nr 4024/2011 (określającej zasady dotyczące emerytur, skali wynagrodzeń, wyceny, tworzenia rezerw kadrowych i innych środków do realizacji średnioterminowego planu strategicznego w zakresie finansów publicznych (2012-2015)) wynagrodzenie skarżącej zostało pomniejszone o kolejne 700 euro, w wyniku czego jej miesięczne wynagrodzenie netto wyniosło 1.885,79 euro.</w:t>
      </w:r>
    </w:p>
    <w:p w:rsidR="00A2020D" w:rsidRDefault="00A2020D" w:rsidP="00117565">
      <w:pPr>
        <w:pStyle w:val="JuPara"/>
        <w:rPr>
          <w:lang w:val="pl-PL"/>
        </w:rPr>
      </w:pPr>
    </w:p>
    <w:p w:rsidR="00A2020D" w:rsidRPr="00550EDF" w:rsidRDefault="00A2020D" w:rsidP="00117565">
      <w:pPr>
        <w:pStyle w:val="JuPara"/>
        <w:rPr>
          <w:lang w:val="pl-PL"/>
        </w:rPr>
      </w:pPr>
      <w:r w:rsidRPr="00550EDF">
        <w:rPr>
          <w:lang w:val="pl-PL"/>
        </w:rPr>
        <w:t>...</w:t>
      </w:r>
    </w:p>
    <w:p w:rsidR="00A2020D" w:rsidRPr="00550EDF" w:rsidRDefault="00A2020D">
      <w:pPr>
        <w:pStyle w:val="JuHHead"/>
        <w:rPr>
          <w:lang w:val="pl-PL"/>
        </w:rPr>
      </w:pPr>
      <w:r w:rsidRPr="00550EDF">
        <w:rPr>
          <w:lang w:val="pl-PL"/>
        </w:rPr>
        <w:t>ZARZUTY</w:t>
      </w:r>
    </w:p>
    <w:p w:rsidR="00A2020D" w:rsidRPr="00550EDF" w:rsidRDefault="00A2020D">
      <w:pPr>
        <w:pStyle w:val="JuPara"/>
        <w:rPr>
          <w:lang w:val="pl-PL"/>
        </w:rPr>
      </w:pPr>
      <w:r w:rsidRPr="00550EDF">
        <w:rPr>
          <w:lang w:val="pl-PL"/>
        </w:rPr>
        <w:t>20. W oparciu o art. 1 Protokołu nr 1, skarżące zaskarżyły cięcia płac i emerytur wynikające z Ustaw nr 3833/2010, 3845/2010 oraz 3847/2010. Druga skarżąca podnosiła również, że doszło do naruszenia art. 6 § 1, 8, 13, 14 i 17 Konwencji.</w:t>
      </w:r>
    </w:p>
    <w:p w:rsidR="00A2020D" w:rsidRPr="00550EDF" w:rsidRDefault="00A2020D">
      <w:pPr>
        <w:pStyle w:val="JuHHead"/>
        <w:rPr>
          <w:lang w:val="pl-PL"/>
        </w:rPr>
      </w:pPr>
      <w:r w:rsidRPr="00550EDF">
        <w:rPr>
          <w:lang w:val="pl-PL"/>
        </w:rPr>
        <w:t>PRAWO</w:t>
      </w:r>
    </w:p>
    <w:p w:rsidR="00A2020D" w:rsidRPr="00550EDF" w:rsidRDefault="00A2020D" w:rsidP="009B193D">
      <w:pPr>
        <w:pStyle w:val="JuPara"/>
        <w:rPr>
          <w:lang w:val="pl-PL"/>
        </w:rPr>
      </w:pPr>
      <w:r w:rsidRPr="00550EDF">
        <w:rPr>
          <w:lang w:val="pl-PL"/>
        </w:rPr>
        <w:t>21. Skarżące podniosły, że doszło do naruszenia art. 1 Protokołu nr 1, zgodnie z którym:</w:t>
      </w:r>
    </w:p>
    <w:p w:rsidR="00A2020D" w:rsidRPr="00550EDF" w:rsidRDefault="00A2020D">
      <w:pPr>
        <w:pStyle w:val="JuQuot"/>
        <w:rPr>
          <w:lang w:val="pl-PL"/>
        </w:rPr>
      </w:pPr>
      <w:r w:rsidRPr="00550EDF">
        <w:rPr>
          <w:lang w:val="pl-PL"/>
        </w:rPr>
        <w:t>„Każda osoba fizyczna i prawna ma prawo do poszanowania swego mienia. Nikt nie może być pozbawiony swojej własności, chyba że w interesie publicznym i na warunkach przewidzianych przez ustawę oraz zgodnie z podstawowymi zasadami prawa międzynarodowego.</w:t>
      </w:r>
    </w:p>
    <w:p w:rsidR="00A2020D" w:rsidRPr="00550EDF" w:rsidRDefault="00A2020D" w:rsidP="009B193D">
      <w:pPr>
        <w:pStyle w:val="JuQuot"/>
        <w:rPr>
          <w:lang w:val="pl-PL"/>
        </w:rPr>
      </w:pPr>
      <w:r w:rsidRPr="00550EDF">
        <w:rPr>
          <w:lang w:val="pl-PL"/>
        </w:rPr>
        <w:t>Powyższe postanowienia nie będą jednak w żaden sposób naruszać prawa Państwa do wydawania takich ustaw, jakie uzna za konieczne dla uregulowania sposobu korzystania z własności zgodnie z interesem powszechnym lub w celu zapewnienia uiszczania podatków bądź innych należności lub kar pieniężnych.”</w:t>
      </w:r>
    </w:p>
    <w:p w:rsidR="00A2020D" w:rsidRPr="00550EDF" w:rsidRDefault="00A2020D">
      <w:pPr>
        <w:pStyle w:val="JuPara"/>
        <w:rPr>
          <w:lang w:val="pl-PL"/>
        </w:rPr>
      </w:pPr>
      <w:r w:rsidRPr="00550EDF">
        <w:rPr>
          <w:lang w:val="pl-PL"/>
        </w:rPr>
        <w:t xml:space="preserve">22. Skarżące podniosły, że prawo wszystkich pracowników sektora publicznego do wypłaty wynagrodzeń stanowiło część ich mienia oraz mieściło się w zakresie ochrony art. 1 Protokołu nr 1. Utrzymywały, że </w:t>
      </w:r>
      <w:r>
        <w:rPr>
          <w:lang w:val="pl-PL"/>
        </w:rPr>
        <w:t>obniż</w:t>
      </w:r>
      <w:r w:rsidRPr="00550EDF">
        <w:rPr>
          <w:lang w:val="pl-PL"/>
        </w:rPr>
        <w:t>k</w:t>
      </w:r>
      <w:r>
        <w:rPr>
          <w:lang w:val="pl-PL"/>
        </w:rPr>
        <w:t>a płac i emerytur przewidziana</w:t>
      </w:r>
      <w:r w:rsidRPr="00550EDF">
        <w:rPr>
          <w:lang w:val="pl-PL"/>
        </w:rPr>
        <w:t xml:space="preserve"> w Ustawach nr 3833/2010, 3845/2010 oraz 3847/2010, które wprowadziły</w:t>
      </w:r>
      <w:r>
        <w:rPr>
          <w:lang w:val="pl-PL"/>
        </w:rPr>
        <w:t xml:space="preserve"> środki o charakterze stałym i trwałym</w:t>
      </w:r>
      <w:r w:rsidRPr="00550EDF">
        <w:rPr>
          <w:lang w:val="pl-PL"/>
        </w:rPr>
        <w:t>, zni</w:t>
      </w:r>
      <w:r>
        <w:rPr>
          <w:lang w:val="pl-PL"/>
        </w:rPr>
        <w:t>osły</w:t>
      </w:r>
      <w:r w:rsidRPr="00550EDF">
        <w:rPr>
          <w:lang w:val="pl-PL"/>
        </w:rPr>
        <w:t xml:space="preserve"> dodatki bożonarodzeniowy, wielk</w:t>
      </w:r>
      <w:r>
        <w:rPr>
          <w:lang w:val="pl-PL"/>
        </w:rPr>
        <w:t>anocny i wakacyjny oraz obniżyły kwotę</w:t>
      </w:r>
      <w:r w:rsidRPr="00550EDF">
        <w:rPr>
          <w:lang w:val="pl-PL"/>
        </w:rPr>
        <w:t xml:space="preserve"> dodatku specjalnego o 20%, </w:t>
      </w:r>
      <w:r>
        <w:rPr>
          <w:lang w:val="pl-PL"/>
        </w:rPr>
        <w:t>stanowiła pozbawienie własności</w:t>
      </w:r>
      <w:r w:rsidRPr="00550EDF">
        <w:rPr>
          <w:lang w:val="pl-PL"/>
        </w:rPr>
        <w:t>.</w:t>
      </w:r>
    </w:p>
    <w:p w:rsidR="00A2020D" w:rsidRPr="00550EDF" w:rsidRDefault="00A2020D">
      <w:pPr>
        <w:pStyle w:val="JuPara"/>
        <w:rPr>
          <w:lang w:val="pl-PL"/>
        </w:rPr>
      </w:pPr>
      <w:r w:rsidRPr="00550EDF">
        <w:rPr>
          <w:lang w:val="pl-PL"/>
        </w:rPr>
        <w:t xml:space="preserve">23. Skarżące podniosły, że </w:t>
      </w:r>
      <w:r>
        <w:rPr>
          <w:lang w:val="pl-PL"/>
        </w:rPr>
        <w:t>pojęcie</w:t>
      </w:r>
      <w:r w:rsidRPr="00550EDF">
        <w:rPr>
          <w:lang w:val="pl-PL"/>
        </w:rPr>
        <w:t xml:space="preserve"> „interesu publicznego”, o której mowa w pierwszym paragrafie art. 1 Protokołu nr 1, nie odnosi się </w:t>
      </w:r>
      <w:r>
        <w:rPr>
          <w:lang w:val="pl-PL"/>
        </w:rPr>
        <w:t>wyłącznie</w:t>
      </w:r>
      <w:r w:rsidRPr="00550EDF">
        <w:rPr>
          <w:lang w:val="pl-PL"/>
        </w:rPr>
        <w:t xml:space="preserve"> do interesów Skarbu Państwa, eliminacji deficytu budżetowego lub stabilności finansów publicznych. Powoływanie się na interes publiczny zakłada </w:t>
      </w:r>
      <w:r>
        <w:rPr>
          <w:lang w:val="pl-PL"/>
        </w:rPr>
        <w:t xml:space="preserve">przedstawienie szczegółowej prezentacji </w:t>
      </w:r>
      <w:r w:rsidRPr="00550EDF">
        <w:rPr>
          <w:lang w:val="pl-PL"/>
        </w:rPr>
        <w:t>w postaci badania gospodarczego, w ramach którego przeanalizowane zostały</w:t>
      </w:r>
      <w:r>
        <w:rPr>
          <w:lang w:val="pl-PL"/>
        </w:rPr>
        <w:t>by</w:t>
      </w:r>
      <w:r w:rsidRPr="00550EDF">
        <w:rPr>
          <w:lang w:val="pl-PL"/>
        </w:rPr>
        <w:t xml:space="preserve"> z wyprzedzeniem wszelkie alternatywne rozwiązania i środki o mniej drastycznych skutkach. Pozbawienie </w:t>
      </w:r>
      <w:r>
        <w:rPr>
          <w:lang w:val="pl-PL"/>
        </w:rPr>
        <w:t xml:space="preserve">własności </w:t>
      </w:r>
      <w:r w:rsidRPr="00550EDF">
        <w:rPr>
          <w:lang w:val="pl-PL"/>
        </w:rPr>
        <w:t>należy uważać wyłącznie za środek ostateczny.</w:t>
      </w:r>
    </w:p>
    <w:p w:rsidR="00A2020D" w:rsidRPr="00550EDF" w:rsidRDefault="00A2020D">
      <w:pPr>
        <w:pStyle w:val="JuPara"/>
        <w:rPr>
          <w:lang w:val="pl-PL"/>
        </w:rPr>
      </w:pPr>
      <w:r w:rsidRPr="00550EDF">
        <w:rPr>
          <w:lang w:val="pl-PL"/>
        </w:rPr>
        <w:t xml:space="preserve">24. W wymienionych powyżej ustawach nie transponowano zasad prawa międzynarodowego </w:t>
      </w:r>
      <w:r>
        <w:rPr>
          <w:lang w:val="pl-PL"/>
        </w:rPr>
        <w:t xml:space="preserve">do </w:t>
      </w:r>
      <w:r w:rsidRPr="00550EDF">
        <w:rPr>
          <w:lang w:val="pl-PL"/>
        </w:rPr>
        <w:t xml:space="preserve">krajowego porządku prawnego. Ustanowione </w:t>
      </w:r>
      <w:r>
        <w:rPr>
          <w:lang w:val="pl-PL"/>
        </w:rPr>
        <w:t>przepisy</w:t>
      </w:r>
      <w:r w:rsidRPr="00550EDF">
        <w:rPr>
          <w:lang w:val="pl-PL"/>
        </w:rPr>
        <w:t xml:space="preserve"> były niekonstytucyjne, ponieważ były one sprzeczne z podstawowymi zasadami konstytucyjnymi (zasadą, że zobowiązania publiczne powinny być ponoszone w równej mierze i zasadą proporcjonalności) oraz prawami socjalnymi zagwarantowanymi przez Konstytucję. Powoływanie się na niekorzystną sytuację gospodarczą, podobnie jako powoływanie się na interes publiczny, </w:t>
      </w:r>
      <w:r>
        <w:rPr>
          <w:lang w:val="pl-PL"/>
        </w:rPr>
        <w:t>podważało krajowy</w:t>
      </w:r>
      <w:r w:rsidRPr="00550EDF">
        <w:rPr>
          <w:lang w:val="pl-PL"/>
        </w:rPr>
        <w:t xml:space="preserve"> porząd</w:t>
      </w:r>
      <w:r>
        <w:rPr>
          <w:lang w:val="pl-PL"/>
        </w:rPr>
        <w:t>e</w:t>
      </w:r>
      <w:r w:rsidRPr="00550EDF">
        <w:rPr>
          <w:lang w:val="pl-PL"/>
        </w:rPr>
        <w:t>k</w:t>
      </w:r>
      <w:r>
        <w:rPr>
          <w:lang w:val="pl-PL"/>
        </w:rPr>
        <w:t xml:space="preserve"> prawny</w:t>
      </w:r>
      <w:r w:rsidRPr="00550EDF">
        <w:rPr>
          <w:lang w:val="pl-PL"/>
        </w:rPr>
        <w:t xml:space="preserve"> o</w:t>
      </w:r>
      <w:r>
        <w:rPr>
          <w:lang w:val="pl-PL"/>
        </w:rPr>
        <w:t>raz, w szczególności, nadrzędną role</w:t>
      </w:r>
      <w:r w:rsidRPr="00550EDF">
        <w:rPr>
          <w:lang w:val="pl-PL"/>
        </w:rPr>
        <w:t xml:space="preserve"> Konstytucji i Konwencji w stosunku do zwykłych przepisów. Brak zgodności przepisów z Konstytucją i Konwencją podważył nie tylko niektóre ochronne aspekty praw socjalnych i pracowniczych, ale całą politykę </w:t>
      </w:r>
      <w:r>
        <w:rPr>
          <w:lang w:val="pl-PL"/>
        </w:rPr>
        <w:t xml:space="preserve">społeczną </w:t>
      </w:r>
      <w:r w:rsidRPr="00550EDF">
        <w:rPr>
          <w:lang w:val="pl-PL"/>
        </w:rPr>
        <w:t>państwa</w:t>
      </w:r>
      <w:r w:rsidRPr="009B0C90">
        <w:rPr>
          <w:lang w:val="pl-PL"/>
        </w:rPr>
        <w:t xml:space="preserve"> </w:t>
      </w:r>
      <w:r w:rsidRPr="00550EDF">
        <w:rPr>
          <w:lang w:val="pl-PL"/>
        </w:rPr>
        <w:t>greckiego.</w:t>
      </w:r>
    </w:p>
    <w:p w:rsidR="00A2020D" w:rsidRPr="00550EDF" w:rsidRDefault="00A2020D">
      <w:pPr>
        <w:pStyle w:val="JuPara"/>
        <w:rPr>
          <w:lang w:val="pl-PL"/>
        </w:rPr>
      </w:pPr>
      <w:r w:rsidRPr="00550EDF">
        <w:rPr>
          <w:lang w:val="pl-PL"/>
        </w:rPr>
        <w:t>25. Jeśli idzie o zasadę proporcjonalności, zgodnie z nią od ustawodawcy wymaga się, aby przed przyjęciem przedmiotowych środków zbadał, czy ich wpływ będzie miał charakter stały czy tymczasowy, czy zakres i czas trwania nakładanych ograniczeń są zgodne z ich celem oraz czy towarzyszą im środki kompens</w:t>
      </w:r>
      <w:r>
        <w:rPr>
          <w:lang w:val="pl-PL"/>
        </w:rPr>
        <w:t>acyjne</w:t>
      </w:r>
      <w:r w:rsidRPr="00550EDF">
        <w:rPr>
          <w:lang w:val="pl-PL"/>
        </w:rPr>
        <w:t xml:space="preserve"> (na przykład obniżenie bezpośredniego lub pośredniego opodatkowania oraz cen podstawowych artykułów).</w:t>
      </w:r>
    </w:p>
    <w:p w:rsidR="00A2020D" w:rsidRPr="00550EDF" w:rsidRDefault="00A2020D">
      <w:pPr>
        <w:pStyle w:val="JuPara"/>
        <w:rPr>
          <w:lang w:val="pl-PL"/>
        </w:rPr>
      </w:pPr>
      <w:r w:rsidRPr="00550EDF">
        <w:rPr>
          <w:lang w:val="pl-PL"/>
        </w:rPr>
        <w:t xml:space="preserve">26. Pierwsza skarżąca podniosła w szczególności, że pomimo faktu trwałego obniżenia jej wynagrodzenia, nie otrzymała żadnego odszkodowania za pozbawienie </w:t>
      </w:r>
      <w:r>
        <w:rPr>
          <w:lang w:val="pl-PL"/>
        </w:rPr>
        <w:t>własności</w:t>
      </w:r>
      <w:r w:rsidRPr="00550EDF">
        <w:rPr>
          <w:lang w:val="pl-PL"/>
        </w:rPr>
        <w:t xml:space="preserve"> czy też jakiejkolwiek obietnicy innego rodzaju rekompensaty, takiej jak zmniejszenie wymiaru pracy, obniżenie odsetek czy też obniżka kwot spłaty pożyczki. Nie podjęto też żadnych środków, aby umożliwić jej zrekompensowanie pozbawienia</w:t>
      </w:r>
      <w:r>
        <w:rPr>
          <w:lang w:val="pl-PL"/>
        </w:rPr>
        <w:t xml:space="preserve"> własności</w:t>
      </w:r>
      <w:r w:rsidRPr="00550EDF">
        <w:rPr>
          <w:lang w:val="pl-PL"/>
        </w:rPr>
        <w:t xml:space="preserve">, na przykład poprzez pracę w charakterze prawnika poza jej obowiązkami w Biurze Rzecznika Praw Obywatelskich. W przeciwieństwie do tego, jej sytuacja finansowa pogorszyła się na skutek </w:t>
      </w:r>
      <w:r>
        <w:rPr>
          <w:lang w:val="pl-PL"/>
        </w:rPr>
        <w:t xml:space="preserve">zastosowania </w:t>
      </w:r>
      <w:r w:rsidRPr="00550EDF">
        <w:rPr>
          <w:lang w:val="pl-PL"/>
        </w:rPr>
        <w:t>niedopuszczalnych środków podatkowych: podatku zawodowego w wysokości 753,43 euro, specjalnego podatku od nieruchomości oraz podatku uzupełniającego w wysokości 1,731 euro od dochodów osiągniętych w 2012 roku. Zostały one spotęgowane przez podwyżkę w cenach podstawowych artykułów, paliw i opłat za usługi publiczne. Wsz</w:t>
      </w:r>
      <w:r>
        <w:rPr>
          <w:lang w:val="pl-PL"/>
        </w:rPr>
        <w:t>ystkie</w:t>
      </w:r>
      <w:r w:rsidRPr="00550EDF">
        <w:rPr>
          <w:lang w:val="pl-PL"/>
        </w:rPr>
        <w:t xml:space="preserve"> powyższe działania doprowadziły razem do drastycznego pogorszenia standardu życia skarżącej.</w:t>
      </w:r>
    </w:p>
    <w:p w:rsidR="00A2020D" w:rsidRPr="00550EDF" w:rsidRDefault="00A2020D">
      <w:pPr>
        <w:pStyle w:val="JuPara"/>
        <w:rPr>
          <w:lang w:val="pl-PL"/>
        </w:rPr>
      </w:pPr>
      <w:r w:rsidRPr="00550EDF">
        <w:rPr>
          <w:lang w:val="pl-PL"/>
        </w:rPr>
        <w:t xml:space="preserve">27. Dokładnie rzecz biorąc, pierwsza skarżąca otrzymywała początkowo wynagrodzenie brutto w wysokości 3.339 euro (2.435,83 euro netto), na które składało się wynagrodzenie zasadnicze w wysokości 2.311 euro, dodatek rodzinny w wysokości 53 euro, dodatek absolwencki w wysokości 45 euro oraz dodatek specjalny w wysokości 930 euro. Ponadto otrzymywała dodatek bożonarodzeniowy, dodatek wielkanocny i dodatek wakacyjny, których kwoty nie zostały określone w skardze. Po wejściu w życie Ustaw nr 3833/2010 oraz 3845/2010 kwota dodatku specjalnego pierwszej skarżącej uległa obniżeniu z 930 euro do 752.93 euro, natomiast jej dodatki bożonarodzeniowy, wielkanocny i wakacyjny zostały obcięte, a następnie zniesione. Ponadto po przyjęciu wyżej wymienionych ustaw, w dniu 28 lutego 2012 roku podjęto kolejną administracyjną decyzję na </w:t>
      </w:r>
      <w:r>
        <w:rPr>
          <w:lang w:val="pl-PL"/>
        </w:rPr>
        <w:t>podstawie</w:t>
      </w:r>
      <w:r w:rsidRPr="00550EDF">
        <w:rPr>
          <w:lang w:val="pl-PL"/>
        </w:rPr>
        <w:t xml:space="preserve"> Ustawy nr 4024/2011, w związku z którą wynagrodzenie skarżącej pomniejszono o kolejne 700 euro, w wyniku czego miesięczne</w:t>
      </w:r>
      <w:r>
        <w:rPr>
          <w:lang w:val="pl-PL"/>
        </w:rPr>
        <w:t xml:space="preserve"> wynagrodzenie netto wyniosło 1.</w:t>
      </w:r>
      <w:r w:rsidRPr="00550EDF">
        <w:rPr>
          <w:lang w:val="pl-PL"/>
        </w:rPr>
        <w:t>885</w:t>
      </w:r>
      <w:r>
        <w:rPr>
          <w:lang w:val="pl-PL"/>
        </w:rPr>
        <w:t>,</w:t>
      </w:r>
      <w:r w:rsidRPr="00550EDF">
        <w:rPr>
          <w:lang w:val="pl-PL"/>
        </w:rPr>
        <w:t>79 euro.</w:t>
      </w:r>
    </w:p>
    <w:p w:rsidR="00A2020D" w:rsidRPr="00550EDF" w:rsidRDefault="00A2020D">
      <w:pPr>
        <w:pStyle w:val="JuPara"/>
        <w:rPr>
          <w:lang w:val="pl-PL"/>
        </w:rPr>
      </w:pPr>
      <w:r w:rsidRPr="00550EDF">
        <w:rPr>
          <w:lang w:val="pl-PL"/>
        </w:rPr>
        <w:t>28. Druga skarżąca podniosła, że przedmiotowe ustawodawstwo wprowadziło takie same cięcia dla wszystkich członków służby publicznej niezależnie od wynagrodzenia. W szczególności obniżka wysokości dodatków dla pracowników służby publicznej oraz zniesienie wypłaty trzynastej i czternastej pensji dotyczyła zarówno osób o wyższych</w:t>
      </w:r>
      <w:r>
        <w:rPr>
          <w:lang w:val="pl-PL"/>
        </w:rPr>
        <w:t>,</w:t>
      </w:r>
      <w:r w:rsidRPr="00550EDF">
        <w:rPr>
          <w:lang w:val="pl-PL"/>
        </w:rPr>
        <w:t xml:space="preserve"> jak i niższych dochodach. Podobnie ograniczenie wypłaty trzynastej i czternastej emerytury objęło osoby o niskich emeryturach w ten sam sposób jak</w:t>
      </w:r>
      <w:r>
        <w:rPr>
          <w:lang w:val="pl-PL"/>
        </w:rPr>
        <w:t xml:space="preserve"> osoby</w:t>
      </w:r>
      <w:r w:rsidRPr="00550EDF">
        <w:rPr>
          <w:lang w:val="pl-PL"/>
        </w:rPr>
        <w:t>, które otrzymywały 2.500 euro miesięcznie. Co więcej, wypłaty te zostały całkowicie zniesione w przypadku osób przebywających na emeryturze, które nie ukończyły sześćdziesiątego roku życia.</w:t>
      </w:r>
    </w:p>
    <w:p w:rsidR="00A2020D" w:rsidRPr="00550EDF" w:rsidRDefault="00A2020D">
      <w:pPr>
        <w:pStyle w:val="JuPara"/>
        <w:rPr>
          <w:lang w:val="pl-PL"/>
        </w:rPr>
      </w:pPr>
      <w:r w:rsidRPr="00550EDF">
        <w:rPr>
          <w:lang w:val="pl-PL"/>
        </w:rPr>
        <w:t>29. W obliczu podobieństwa między sprawami pod względem faktów i kwestii</w:t>
      </w:r>
      <w:r>
        <w:rPr>
          <w:lang w:val="pl-PL"/>
        </w:rPr>
        <w:t xml:space="preserve"> prawnych</w:t>
      </w:r>
      <w:r w:rsidRPr="00550EDF">
        <w:rPr>
          <w:lang w:val="pl-PL"/>
        </w:rPr>
        <w:t xml:space="preserve">, jakie podnoszą, Trybunał uznaje za niezbędne ich połączenie i wspólne </w:t>
      </w:r>
      <w:r>
        <w:rPr>
          <w:lang w:val="pl-PL"/>
        </w:rPr>
        <w:t>rozpoznanie</w:t>
      </w:r>
      <w:r w:rsidRPr="00550EDF">
        <w:rPr>
          <w:lang w:val="pl-PL"/>
        </w:rPr>
        <w:t xml:space="preserve"> w ramach jedne</w:t>
      </w:r>
      <w:r>
        <w:rPr>
          <w:lang w:val="pl-PL"/>
        </w:rPr>
        <w:t>go</w:t>
      </w:r>
      <w:r w:rsidRPr="00550EDF">
        <w:rPr>
          <w:lang w:val="pl-PL"/>
        </w:rPr>
        <w:t xml:space="preserve"> </w:t>
      </w:r>
      <w:r>
        <w:rPr>
          <w:lang w:val="pl-PL"/>
        </w:rPr>
        <w:t>orzeczenia</w:t>
      </w:r>
      <w:r w:rsidRPr="00550EDF">
        <w:rPr>
          <w:lang w:val="pl-PL"/>
        </w:rPr>
        <w:t>.</w:t>
      </w:r>
    </w:p>
    <w:p w:rsidR="00A2020D" w:rsidRPr="00550EDF" w:rsidRDefault="00A2020D">
      <w:pPr>
        <w:pStyle w:val="JuPara"/>
        <w:rPr>
          <w:lang w:val="pl-PL"/>
        </w:rPr>
      </w:pPr>
      <w:r w:rsidRPr="00550EDF">
        <w:rPr>
          <w:lang w:val="pl-PL"/>
        </w:rPr>
        <w:t>30. Na początku nasuwa się pytanie, czy druga skarżąca może powoływać się na status „ofiary” w rozumieniu art. 34 Konwencji. Niemniej Trybunał je</w:t>
      </w:r>
      <w:r>
        <w:rPr>
          <w:lang w:val="pl-PL"/>
        </w:rPr>
        <w:t>st zdania, że nie ma konieczności</w:t>
      </w:r>
      <w:r w:rsidRPr="00550EDF">
        <w:rPr>
          <w:lang w:val="pl-PL"/>
        </w:rPr>
        <w:t xml:space="preserve"> zajmować się tą kwestią, ponieważ nawet przyjmując, że skarżąca ma status „ofiary”, podnoszone </w:t>
      </w:r>
      <w:r>
        <w:rPr>
          <w:lang w:val="pl-PL"/>
        </w:rPr>
        <w:t xml:space="preserve">przez nią </w:t>
      </w:r>
      <w:bookmarkStart w:id="0" w:name="_GoBack"/>
      <w:bookmarkEnd w:id="0"/>
      <w:r w:rsidRPr="00550EDF">
        <w:rPr>
          <w:lang w:val="pl-PL"/>
        </w:rPr>
        <w:t xml:space="preserve">zarzuty </w:t>
      </w:r>
      <w:r>
        <w:rPr>
          <w:lang w:val="pl-PL"/>
        </w:rPr>
        <w:t xml:space="preserve">w każdym </w:t>
      </w:r>
      <w:r w:rsidRPr="00550EDF">
        <w:rPr>
          <w:lang w:val="pl-PL"/>
        </w:rPr>
        <w:t xml:space="preserve">razie </w:t>
      </w:r>
      <w:r>
        <w:rPr>
          <w:lang w:val="pl-PL"/>
        </w:rPr>
        <w:t>są nie</w:t>
      </w:r>
      <w:r w:rsidRPr="00550EDF">
        <w:rPr>
          <w:lang w:val="pl-PL"/>
        </w:rPr>
        <w:t>dopuszczalne ze względów, o których mowa poniżej.</w:t>
      </w:r>
    </w:p>
    <w:p w:rsidR="00A2020D" w:rsidRPr="00550EDF" w:rsidRDefault="00A2020D" w:rsidP="009B63BE">
      <w:pPr>
        <w:pStyle w:val="JuPara"/>
        <w:rPr>
          <w:lang w:val="pl-PL"/>
        </w:rPr>
      </w:pPr>
      <w:r w:rsidRPr="00550EDF">
        <w:rPr>
          <w:lang w:val="pl-PL"/>
        </w:rPr>
        <w:t>31. Trybunał przypomina, że Państwom Stronom Konwencji pozostawiono dość szeroki margines oceny w zakresie regulacji własnej polityki socjalnej. Jako że decyzja o uchwaleniu ustaw mający na celu zrównoważenie wydatków i przychodów Państwa będzie zwykle obejmowała uwzględnienie kwestii politycznych, gospodarczych i</w:t>
      </w:r>
      <w:r>
        <w:rPr>
          <w:lang w:val="pl-PL"/>
        </w:rPr>
        <w:t xml:space="preserve"> społecznych</w:t>
      </w:r>
      <w:r w:rsidRPr="00550EDF">
        <w:rPr>
          <w:lang w:val="pl-PL"/>
        </w:rPr>
        <w:t xml:space="preserve">, Trybunał uznaje, że władze krajowe mają co do zasady lepszą możliwość niż sędzia międzynarodowy, by wybrać najbardziej odpowiednie środki dla osiągnięcia tego celu oraz zazwyczaj szanuje ich decyzję, chyba że jest ona wyraźnie bezpodstawna (zob. np. sprawę </w:t>
      </w:r>
      <w:r w:rsidRPr="00550EDF">
        <w:rPr>
          <w:i/>
          <w:iCs/>
          <w:lang w:val="pl-PL"/>
        </w:rPr>
        <w:t>Terazzi S.r.l. przeciwko</w:t>
      </w:r>
      <w:r w:rsidRPr="00550EDF">
        <w:rPr>
          <w:lang w:val="pl-PL"/>
        </w:rPr>
        <w:t xml:space="preserve"> </w:t>
      </w:r>
      <w:r w:rsidRPr="00550EDF">
        <w:rPr>
          <w:i/>
          <w:iCs/>
          <w:lang w:val="pl-PL"/>
        </w:rPr>
        <w:t>Włochom</w:t>
      </w:r>
      <w:r w:rsidRPr="00550EDF">
        <w:rPr>
          <w:lang w:val="pl-PL"/>
        </w:rPr>
        <w:t xml:space="preserve">, </w:t>
      </w:r>
      <w:r>
        <w:rPr>
          <w:lang w:val="pl-PL"/>
        </w:rPr>
        <w:t>skarga nr</w:t>
      </w:r>
      <w:r w:rsidRPr="00550EDF">
        <w:rPr>
          <w:lang w:val="pl-PL"/>
        </w:rPr>
        <w:t xml:space="preserve"> 27265/95, 17 października 2002 r.; </w:t>
      </w:r>
      <w:r w:rsidRPr="00550EDF">
        <w:rPr>
          <w:i/>
          <w:iCs/>
          <w:lang w:val="pl-PL"/>
        </w:rPr>
        <w:t>Wieczorek przeciwko</w:t>
      </w:r>
      <w:r w:rsidRPr="00550EDF">
        <w:rPr>
          <w:lang w:val="pl-PL"/>
        </w:rPr>
        <w:t xml:space="preserve"> </w:t>
      </w:r>
      <w:r w:rsidRPr="00550EDF">
        <w:rPr>
          <w:i/>
          <w:iCs/>
          <w:lang w:val="pl-PL"/>
        </w:rPr>
        <w:t>Polsce</w:t>
      </w:r>
      <w:r w:rsidRPr="00550EDF">
        <w:rPr>
          <w:lang w:val="pl-PL"/>
        </w:rPr>
        <w:t>,</w:t>
      </w:r>
      <w:r w:rsidRPr="00550EDF">
        <w:rPr>
          <w:i/>
          <w:iCs/>
          <w:lang w:val="pl-PL"/>
        </w:rPr>
        <w:t xml:space="preserve"> </w:t>
      </w:r>
      <w:r>
        <w:rPr>
          <w:lang w:val="pl-PL"/>
        </w:rPr>
        <w:t>skarga nr</w:t>
      </w:r>
      <w:r w:rsidRPr="00550EDF">
        <w:rPr>
          <w:lang w:val="pl-PL"/>
        </w:rPr>
        <w:t xml:space="preserve"> 18176/05, 8 grudnia 2009 roku;</w:t>
      </w:r>
      <w:r w:rsidRPr="00550EDF">
        <w:rPr>
          <w:i/>
          <w:iCs/>
          <w:lang w:val="pl-PL"/>
        </w:rPr>
        <w:t xml:space="preserve"> Jahn i Inni przeciwko</w:t>
      </w:r>
      <w:r w:rsidRPr="00550EDF">
        <w:rPr>
          <w:lang w:val="pl-PL"/>
        </w:rPr>
        <w:t xml:space="preserve"> </w:t>
      </w:r>
      <w:r w:rsidRPr="00550EDF">
        <w:rPr>
          <w:i/>
          <w:iCs/>
          <w:lang w:val="pl-PL"/>
        </w:rPr>
        <w:t>Niemcom</w:t>
      </w:r>
      <w:r w:rsidRPr="00550EDF">
        <w:rPr>
          <w:lang w:val="pl-PL"/>
        </w:rPr>
        <w:t xml:space="preserve"> [Wielka Izba], </w:t>
      </w:r>
      <w:r>
        <w:rPr>
          <w:lang w:val="pl-PL"/>
        </w:rPr>
        <w:t>skarga nr</w:t>
      </w:r>
      <w:r w:rsidRPr="00550EDF">
        <w:rPr>
          <w:lang w:val="pl-PL"/>
        </w:rPr>
        <w:t xml:space="preserve"> 46720/99, 72203/01 oraz 72552/01, ETPC 2005-VI; </w:t>
      </w:r>
      <w:r w:rsidRPr="00550EDF">
        <w:rPr>
          <w:i/>
          <w:iCs/>
          <w:lang w:val="pl-PL"/>
        </w:rPr>
        <w:t>Mihaieş i Senteş przeciwko</w:t>
      </w:r>
      <w:r w:rsidRPr="00550EDF">
        <w:rPr>
          <w:lang w:val="pl-PL"/>
        </w:rPr>
        <w:t xml:space="preserve"> </w:t>
      </w:r>
      <w:r w:rsidRPr="00550EDF">
        <w:rPr>
          <w:i/>
          <w:iCs/>
          <w:lang w:val="pl-PL"/>
        </w:rPr>
        <w:t xml:space="preserve">Rumunii </w:t>
      </w:r>
      <w:r w:rsidRPr="00550EDF">
        <w:rPr>
          <w:lang w:val="pl-PL"/>
        </w:rPr>
        <w:t xml:space="preserve">(dec.), </w:t>
      </w:r>
      <w:r>
        <w:rPr>
          <w:lang w:val="pl-PL"/>
        </w:rPr>
        <w:t>skargi nr</w:t>
      </w:r>
      <w:r w:rsidRPr="00550EDF">
        <w:rPr>
          <w:lang w:val="pl-PL"/>
        </w:rPr>
        <w:t xml:space="preserve"> 44232/11 oraz 44605/11, 6 grudnia 2011 r.; oraz </w:t>
      </w:r>
      <w:r w:rsidRPr="00550EDF">
        <w:rPr>
          <w:i/>
          <w:iCs/>
          <w:lang w:val="pl-PL"/>
        </w:rPr>
        <w:t>Frimu i 4 inne skargi przeciwko</w:t>
      </w:r>
      <w:r w:rsidRPr="00550EDF">
        <w:rPr>
          <w:lang w:val="pl-PL"/>
        </w:rPr>
        <w:t xml:space="preserve"> </w:t>
      </w:r>
      <w:r w:rsidRPr="00550EDF">
        <w:rPr>
          <w:i/>
          <w:iCs/>
          <w:lang w:val="pl-PL"/>
        </w:rPr>
        <w:t xml:space="preserve">Rumunii </w:t>
      </w:r>
      <w:r w:rsidRPr="00550EDF">
        <w:rPr>
          <w:lang w:val="pl-PL"/>
        </w:rPr>
        <w:t xml:space="preserve">(dec.), </w:t>
      </w:r>
      <w:r>
        <w:rPr>
          <w:lang w:val="pl-PL"/>
        </w:rPr>
        <w:t>skargi</w:t>
      </w:r>
      <w:r w:rsidRPr="00550EDF">
        <w:rPr>
          <w:lang w:val="pl-PL"/>
        </w:rPr>
        <w:t xml:space="preserve"> 45312/11, 45581/11, 45583/11, 45587/11 oraz 45588/11, § 40, 7 lutego 2012 r.). Margines ten jest nawet szerszy, jeśli sprawy dotyczą oceny priorytetów </w:t>
      </w:r>
      <w:r>
        <w:rPr>
          <w:lang w:val="pl-PL"/>
        </w:rPr>
        <w:t xml:space="preserve">w zakresie </w:t>
      </w:r>
      <w:r w:rsidRPr="00550EDF">
        <w:rPr>
          <w:lang w:val="pl-PL"/>
        </w:rPr>
        <w:t>przydział</w:t>
      </w:r>
      <w:r>
        <w:rPr>
          <w:lang w:val="pl-PL"/>
        </w:rPr>
        <w:t>u</w:t>
      </w:r>
      <w:r w:rsidRPr="00550EDF">
        <w:rPr>
          <w:lang w:val="pl-PL"/>
        </w:rPr>
        <w:t xml:space="preserve"> ograniczonych zasobów Państwa (zob. </w:t>
      </w:r>
      <w:r w:rsidRPr="00550EDF">
        <w:rPr>
          <w:i/>
          <w:iCs/>
          <w:lang w:val="pl-PL"/>
        </w:rPr>
        <w:t>O</w:t>
      </w:r>
      <w:r>
        <w:rPr>
          <w:i/>
          <w:iCs/>
          <w:lang w:val="pl-PL"/>
        </w:rPr>
        <w:t>’</w:t>
      </w:r>
      <w:r w:rsidRPr="00550EDF">
        <w:rPr>
          <w:i/>
          <w:iCs/>
          <w:lang w:val="pl-PL"/>
        </w:rPr>
        <w:t>Reilly i Inni przeciwko</w:t>
      </w:r>
      <w:r w:rsidRPr="00550EDF">
        <w:rPr>
          <w:lang w:val="pl-PL"/>
        </w:rPr>
        <w:t xml:space="preserve"> </w:t>
      </w:r>
      <w:r w:rsidRPr="00550EDF">
        <w:rPr>
          <w:i/>
          <w:iCs/>
          <w:lang w:val="pl-PL"/>
        </w:rPr>
        <w:t xml:space="preserve">Irlandii </w:t>
      </w:r>
      <w:r w:rsidRPr="00550EDF">
        <w:rPr>
          <w:lang w:val="pl-PL"/>
        </w:rPr>
        <w:t xml:space="preserve">(dec.), </w:t>
      </w:r>
      <w:r>
        <w:rPr>
          <w:lang w:val="pl-PL"/>
        </w:rPr>
        <w:t>skarga nr</w:t>
      </w:r>
      <w:r w:rsidRPr="00550EDF">
        <w:rPr>
          <w:lang w:val="pl-PL"/>
        </w:rPr>
        <w:t xml:space="preserve"> 54725/00, 28 lutego 2002 r.; </w:t>
      </w:r>
      <w:r w:rsidRPr="00550EDF">
        <w:rPr>
          <w:i/>
          <w:iCs/>
          <w:lang w:val="pl-PL"/>
        </w:rPr>
        <w:t>Pentiacova i Inni przeciwko</w:t>
      </w:r>
      <w:r w:rsidRPr="00550EDF">
        <w:rPr>
          <w:lang w:val="pl-PL"/>
        </w:rPr>
        <w:t xml:space="preserve"> </w:t>
      </w:r>
      <w:r w:rsidRPr="00550EDF">
        <w:rPr>
          <w:i/>
          <w:iCs/>
          <w:lang w:val="pl-PL"/>
        </w:rPr>
        <w:t xml:space="preserve">Mołdawii </w:t>
      </w:r>
      <w:r w:rsidRPr="00550EDF">
        <w:rPr>
          <w:lang w:val="pl-PL"/>
        </w:rPr>
        <w:t xml:space="preserve">(dec.), </w:t>
      </w:r>
      <w:r>
        <w:rPr>
          <w:lang w:val="pl-PL"/>
        </w:rPr>
        <w:t>skarga nr</w:t>
      </w:r>
      <w:r w:rsidRPr="00550EDF">
        <w:rPr>
          <w:lang w:val="pl-PL"/>
        </w:rPr>
        <w:t xml:space="preserve"> 14462/03, 4 stycznia 2005 r.; oraz </w:t>
      </w:r>
      <w:r w:rsidRPr="00550EDF">
        <w:rPr>
          <w:i/>
          <w:iCs/>
          <w:lang w:val="pl-PL"/>
        </w:rPr>
        <w:t>Huc przeciwko</w:t>
      </w:r>
      <w:r w:rsidRPr="00550EDF">
        <w:rPr>
          <w:lang w:val="pl-PL"/>
        </w:rPr>
        <w:t xml:space="preserve"> </w:t>
      </w:r>
      <w:r w:rsidRPr="00550EDF">
        <w:rPr>
          <w:i/>
          <w:iCs/>
          <w:lang w:val="pl-PL"/>
        </w:rPr>
        <w:t xml:space="preserve">Rumunii i Niemcom </w:t>
      </w:r>
      <w:r w:rsidRPr="00550EDF">
        <w:rPr>
          <w:lang w:val="pl-PL"/>
        </w:rPr>
        <w:t xml:space="preserve">(dec.), </w:t>
      </w:r>
      <w:r>
        <w:rPr>
          <w:lang w:val="pl-PL"/>
        </w:rPr>
        <w:t>skarga nr</w:t>
      </w:r>
      <w:r w:rsidRPr="00550EDF">
        <w:rPr>
          <w:lang w:val="pl-PL"/>
        </w:rPr>
        <w:t xml:space="preserve"> 7269/05, § 64, 1 grudnia 2009 r.).</w:t>
      </w:r>
    </w:p>
    <w:p w:rsidR="00A2020D" w:rsidRPr="00550EDF" w:rsidRDefault="00A2020D" w:rsidP="009B63BE">
      <w:pPr>
        <w:pStyle w:val="JuPara"/>
        <w:rPr>
          <w:lang w:val="pl-PL"/>
        </w:rPr>
      </w:pPr>
      <w:r w:rsidRPr="00550EDF">
        <w:rPr>
          <w:lang w:val="pl-PL"/>
        </w:rPr>
        <w:t xml:space="preserve">32. Zgodnie z ugruntowanym orzecznictwem Trybunału zasady mające ogólne zastosowanie w sprawach dotyczących art. 1 Protokołu Nr 1 są równie istotne w odniesieniu do wynagrodzeń czy też świadczeń socjalnych (zob. na zasadzie </w:t>
      </w:r>
      <w:r w:rsidRPr="00550EDF">
        <w:rPr>
          <w:i/>
          <w:iCs/>
          <w:lang w:val="pl-PL"/>
        </w:rPr>
        <w:t>mutatis mutandis</w:t>
      </w:r>
      <w:r w:rsidRPr="00550EDF">
        <w:rPr>
          <w:lang w:val="pl-PL"/>
        </w:rPr>
        <w:t xml:space="preserve">, </w:t>
      </w:r>
      <w:r w:rsidRPr="00550EDF">
        <w:rPr>
          <w:i/>
          <w:iCs/>
          <w:lang w:val="pl-PL"/>
        </w:rPr>
        <w:t>Stummer przeciwko</w:t>
      </w:r>
      <w:r w:rsidRPr="00550EDF">
        <w:rPr>
          <w:lang w:val="pl-PL"/>
        </w:rPr>
        <w:t xml:space="preserve"> </w:t>
      </w:r>
      <w:r w:rsidRPr="00550EDF">
        <w:rPr>
          <w:i/>
          <w:iCs/>
          <w:lang w:val="pl-PL"/>
        </w:rPr>
        <w:t>Austrii</w:t>
      </w:r>
      <w:r w:rsidRPr="00550EDF">
        <w:rPr>
          <w:lang w:val="pl-PL"/>
        </w:rPr>
        <w:t xml:space="preserve"> [Wielka Izba], </w:t>
      </w:r>
      <w:r>
        <w:rPr>
          <w:lang w:val="pl-PL"/>
        </w:rPr>
        <w:t>skarga nr</w:t>
      </w:r>
      <w:r w:rsidRPr="00550EDF">
        <w:rPr>
          <w:lang w:val="pl-PL"/>
        </w:rPr>
        <w:t xml:space="preserve"> 37452/02, § 82, ETPC 2011). Pierwszym i najważniejszym wymogiem art. 1 Protokołu nr 1 jest to, aby wszelka ingerencja ze strony władz publicznych w prawo do poszanowania mienia była zgodna z prawem oraz służyła osiągnięciu </w:t>
      </w:r>
      <w:r>
        <w:rPr>
          <w:lang w:val="pl-PL"/>
        </w:rPr>
        <w:t xml:space="preserve">uprawnionego </w:t>
      </w:r>
      <w:r w:rsidRPr="00550EDF">
        <w:rPr>
          <w:lang w:val="pl-PL"/>
        </w:rPr>
        <w:t xml:space="preserve">celu „w interesie publicznym”. Wszelka ingerencja musi być również </w:t>
      </w:r>
      <w:r>
        <w:rPr>
          <w:lang w:val="pl-PL"/>
        </w:rPr>
        <w:t xml:space="preserve">rozsądnie </w:t>
      </w:r>
      <w:r w:rsidRPr="00550EDF">
        <w:rPr>
          <w:lang w:val="pl-PL"/>
        </w:rPr>
        <w:t xml:space="preserve">proporcjonalna do celu, jakiemu ma służyć. Innymi słowy, należy osiągnąć </w:t>
      </w:r>
      <w:r>
        <w:rPr>
          <w:lang w:val="pl-PL"/>
        </w:rPr>
        <w:t xml:space="preserve">słuszną </w:t>
      </w:r>
      <w:r w:rsidRPr="00550EDF">
        <w:rPr>
          <w:lang w:val="pl-PL"/>
        </w:rPr>
        <w:t>równowagę między potrzebami ogólnego interesu społeczeństwa a wymogami ochrony praw pod</w:t>
      </w:r>
      <w:r>
        <w:rPr>
          <w:lang w:val="pl-PL"/>
        </w:rPr>
        <w:t>stawowych danej osoby. Wymagana równowaga</w:t>
      </w:r>
      <w:r w:rsidRPr="00550EDF">
        <w:rPr>
          <w:lang w:val="pl-PL"/>
        </w:rPr>
        <w:t xml:space="preserve"> nie </w:t>
      </w:r>
      <w:r>
        <w:rPr>
          <w:lang w:val="pl-PL"/>
        </w:rPr>
        <w:t>będzie zachowana</w:t>
      </w:r>
      <w:r w:rsidRPr="00550EDF">
        <w:rPr>
          <w:lang w:val="pl-PL"/>
        </w:rPr>
        <w:t xml:space="preserve">, jeśli dana osoba lub osoby muszą ponosić z tego tytułu indywidualny i nadmierny ciężar (zob. </w:t>
      </w:r>
      <w:r w:rsidRPr="00550EDF">
        <w:rPr>
          <w:i/>
          <w:iCs/>
          <w:lang w:val="pl-PL"/>
        </w:rPr>
        <w:t>Khoniakina przeciwko</w:t>
      </w:r>
      <w:r w:rsidRPr="00550EDF">
        <w:rPr>
          <w:lang w:val="pl-PL"/>
        </w:rPr>
        <w:t xml:space="preserve"> </w:t>
      </w:r>
      <w:r w:rsidRPr="00550EDF">
        <w:rPr>
          <w:i/>
          <w:iCs/>
          <w:lang w:val="pl-PL"/>
        </w:rPr>
        <w:t>Gruzji</w:t>
      </w:r>
      <w:r w:rsidRPr="00550EDF">
        <w:rPr>
          <w:lang w:val="pl-PL"/>
        </w:rPr>
        <w:t xml:space="preserve">, </w:t>
      </w:r>
      <w:r>
        <w:rPr>
          <w:lang w:val="pl-PL"/>
        </w:rPr>
        <w:t>skarga nr</w:t>
      </w:r>
      <w:r w:rsidRPr="00550EDF">
        <w:rPr>
          <w:lang w:val="pl-PL"/>
        </w:rPr>
        <w:t xml:space="preserve"> 17767/08, § 70, 19 czerwca 2012 r.).</w:t>
      </w:r>
    </w:p>
    <w:p w:rsidR="00A2020D" w:rsidRPr="00550EDF" w:rsidRDefault="00A2020D" w:rsidP="009B63BE">
      <w:pPr>
        <w:pStyle w:val="JuPara"/>
        <w:rPr>
          <w:lang w:val="pl-PL"/>
        </w:rPr>
      </w:pPr>
      <w:r w:rsidRPr="00550EDF">
        <w:rPr>
          <w:lang w:val="pl-PL"/>
        </w:rPr>
        <w:t xml:space="preserve">33. Co więcej art. 1 Protokołu nr 1 nie może być interpretowany jako przyznający danej osobie prawo do emerytury w określonej wysokości (zob. w szczególności </w:t>
      </w:r>
      <w:r w:rsidRPr="00550EDF">
        <w:rPr>
          <w:i/>
          <w:iCs/>
          <w:lang w:val="pl-PL"/>
        </w:rPr>
        <w:t>Skorkiewicz przeciwko</w:t>
      </w:r>
      <w:r w:rsidRPr="00550EDF">
        <w:rPr>
          <w:lang w:val="pl-PL"/>
        </w:rPr>
        <w:t xml:space="preserve"> </w:t>
      </w:r>
      <w:r w:rsidRPr="00550EDF">
        <w:rPr>
          <w:i/>
          <w:iCs/>
          <w:lang w:val="pl-PL"/>
        </w:rPr>
        <w:t xml:space="preserve">Polsce </w:t>
      </w:r>
      <w:r w:rsidRPr="00550EDF">
        <w:rPr>
          <w:lang w:val="pl-PL"/>
        </w:rPr>
        <w:t xml:space="preserve">(dec.) </w:t>
      </w:r>
      <w:r>
        <w:rPr>
          <w:lang w:val="pl-PL"/>
        </w:rPr>
        <w:t>skarga nr</w:t>
      </w:r>
      <w:r w:rsidRPr="00550EDF">
        <w:rPr>
          <w:lang w:val="pl-PL"/>
        </w:rPr>
        <w:t xml:space="preserve"> 39860/98, 1 czerwca 1999 r.; </w:t>
      </w:r>
      <w:r w:rsidRPr="00550EDF">
        <w:rPr>
          <w:i/>
          <w:iCs/>
          <w:lang w:val="pl-PL"/>
        </w:rPr>
        <w:t>Jankovic przeciwko</w:t>
      </w:r>
      <w:r w:rsidRPr="00550EDF">
        <w:rPr>
          <w:lang w:val="pl-PL"/>
        </w:rPr>
        <w:t xml:space="preserve"> </w:t>
      </w:r>
      <w:r w:rsidRPr="00550EDF">
        <w:rPr>
          <w:i/>
          <w:iCs/>
          <w:lang w:val="pl-PL"/>
        </w:rPr>
        <w:t>Chorwacji</w:t>
      </w:r>
      <w:r w:rsidRPr="00550EDF">
        <w:rPr>
          <w:lang w:val="pl-PL"/>
        </w:rPr>
        <w:t xml:space="preserve"> (dec.), </w:t>
      </w:r>
      <w:r>
        <w:rPr>
          <w:lang w:val="pl-PL"/>
        </w:rPr>
        <w:t>skarga nr</w:t>
      </w:r>
      <w:r w:rsidRPr="00550EDF">
        <w:rPr>
          <w:lang w:val="pl-PL"/>
        </w:rPr>
        <w:t xml:space="preserve"> 43440/98, ETPC 2000-X; </w:t>
      </w:r>
      <w:r w:rsidRPr="00550EDF">
        <w:rPr>
          <w:i/>
          <w:iCs/>
          <w:lang w:val="pl-PL"/>
        </w:rPr>
        <w:t>Kuna przeciwko</w:t>
      </w:r>
      <w:r w:rsidRPr="00550EDF">
        <w:rPr>
          <w:lang w:val="pl-PL"/>
        </w:rPr>
        <w:t xml:space="preserve"> </w:t>
      </w:r>
      <w:r w:rsidRPr="00550EDF">
        <w:rPr>
          <w:i/>
          <w:iCs/>
          <w:lang w:val="pl-PL"/>
        </w:rPr>
        <w:t>Niemcom</w:t>
      </w:r>
      <w:r w:rsidRPr="00550EDF">
        <w:rPr>
          <w:lang w:val="pl-PL"/>
        </w:rPr>
        <w:t xml:space="preserve">, (dec.), </w:t>
      </w:r>
      <w:r>
        <w:rPr>
          <w:lang w:val="pl-PL"/>
        </w:rPr>
        <w:t>skarga nr</w:t>
      </w:r>
      <w:r w:rsidRPr="00550EDF">
        <w:rPr>
          <w:lang w:val="pl-PL"/>
        </w:rPr>
        <w:t xml:space="preserve"> 52449/99, ETPC 2001-V; </w:t>
      </w:r>
      <w:r w:rsidRPr="00550EDF">
        <w:rPr>
          <w:i/>
          <w:iCs/>
          <w:lang w:val="pl-PL"/>
        </w:rPr>
        <w:t>Blanco Callejas przeciwko</w:t>
      </w:r>
      <w:r w:rsidRPr="00550EDF">
        <w:rPr>
          <w:lang w:val="pl-PL"/>
        </w:rPr>
        <w:t xml:space="preserve"> </w:t>
      </w:r>
      <w:r w:rsidRPr="00550EDF">
        <w:rPr>
          <w:i/>
          <w:iCs/>
          <w:lang w:val="pl-PL"/>
        </w:rPr>
        <w:t>Hiszpanii</w:t>
      </w:r>
      <w:r w:rsidRPr="00550EDF">
        <w:rPr>
          <w:lang w:val="pl-PL"/>
        </w:rPr>
        <w:t xml:space="preserve"> (dec.), </w:t>
      </w:r>
      <w:r>
        <w:rPr>
          <w:lang w:val="pl-PL"/>
        </w:rPr>
        <w:t>skarga nr</w:t>
      </w:r>
      <w:r w:rsidRPr="00550EDF">
        <w:rPr>
          <w:lang w:val="pl-PL"/>
        </w:rPr>
        <w:t xml:space="preserve"> 64100/00, 18 czerwca 2002 r.; </w:t>
      </w:r>
      <w:r w:rsidRPr="00550EDF">
        <w:rPr>
          <w:i/>
          <w:iCs/>
          <w:lang w:val="pl-PL"/>
        </w:rPr>
        <w:t>Maggio i Inni przeciwko</w:t>
      </w:r>
      <w:r w:rsidRPr="00550EDF">
        <w:rPr>
          <w:lang w:val="pl-PL"/>
        </w:rPr>
        <w:t xml:space="preserve"> </w:t>
      </w:r>
      <w:r w:rsidRPr="00550EDF">
        <w:rPr>
          <w:i/>
          <w:iCs/>
          <w:lang w:val="pl-PL"/>
        </w:rPr>
        <w:t>Włochom</w:t>
      </w:r>
      <w:r w:rsidRPr="00550EDF">
        <w:rPr>
          <w:lang w:val="pl-PL"/>
        </w:rPr>
        <w:t xml:space="preserve">, </w:t>
      </w:r>
      <w:r>
        <w:rPr>
          <w:lang w:val="pl-PL"/>
        </w:rPr>
        <w:t>skargi nr</w:t>
      </w:r>
      <w:r w:rsidRPr="00550EDF">
        <w:rPr>
          <w:lang w:val="pl-PL"/>
        </w:rPr>
        <w:t xml:space="preserve"> 46286/09, 52851/08, 53727/08, 54486/08 oraz 56001/08, § 55, 31 maja 2011 r.; </w:t>
      </w:r>
      <w:r w:rsidRPr="00550EDF">
        <w:rPr>
          <w:i/>
          <w:iCs/>
          <w:lang w:val="pl-PL"/>
        </w:rPr>
        <w:t>Valkov i Inni przeciwko</w:t>
      </w:r>
      <w:r w:rsidRPr="00550EDF">
        <w:rPr>
          <w:lang w:val="pl-PL"/>
        </w:rPr>
        <w:t xml:space="preserve"> </w:t>
      </w:r>
      <w:r w:rsidRPr="00550EDF">
        <w:rPr>
          <w:i/>
          <w:iCs/>
          <w:lang w:val="pl-PL"/>
        </w:rPr>
        <w:t>Bułgarii,</w:t>
      </w:r>
      <w:r w:rsidRPr="00550EDF">
        <w:rPr>
          <w:lang w:val="pl-PL"/>
        </w:rPr>
        <w:t xml:space="preserve"> </w:t>
      </w:r>
      <w:r>
        <w:rPr>
          <w:lang w:val="pl-PL"/>
        </w:rPr>
        <w:t>skargi nr</w:t>
      </w:r>
      <w:r w:rsidRPr="00550EDF">
        <w:rPr>
          <w:lang w:val="pl-PL"/>
        </w:rPr>
        <w:t xml:space="preserve"> 2033/04, 19125/04, 19475/04, 19490/04, 19495/04, 19497/04, 24729/04, 171/05 oraz 2041/05, §§ 104-108, 25 października 2011 r.; oraz </w:t>
      </w:r>
      <w:r w:rsidRPr="00550EDF">
        <w:rPr>
          <w:i/>
          <w:iCs/>
          <w:lang w:val="pl-PL"/>
        </w:rPr>
        <w:t>Frimu i 4 inne skargi przeciwko</w:t>
      </w:r>
      <w:r w:rsidRPr="00550EDF">
        <w:rPr>
          <w:lang w:val="pl-PL"/>
        </w:rPr>
        <w:t xml:space="preserve"> </w:t>
      </w:r>
      <w:r w:rsidRPr="00550EDF">
        <w:rPr>
          <w:i/>
          <w:iCs/>
          <w:lang w:val="pl-PL"/>
        </w:rPr>
        <w:t>Rumunii</w:t>
      </w:r>
      <w:r w:rsidRPr="00550EDF">
        <w:rPr>
          <w:lang w:val="pl-PL"/>
        </w:rPr>
        <w:t xml:space="preserve">, op. cit., § 40) ani do wynagrodzenia w określonej wysokości (zob. </w:t>
      </w:r>
      <w:r w:rsidRPr="00550EDF">
        <w:rPr>
          <w:i/>
          <w:iCs/>
          <w:lang w:val="pl-PL"/>
        </w:rPr>
        <w:t>Panfile przeciwko</w:t>
      </w:r>
      <w:r w:rsidRPr="00550EDF">
        <w:rPr>
          <w:lang w:val="pl-PL"/>
        </w:rPr>
        <w:t xml:space="preserve"> </w:t>
      </w:r>
      <w:r w:rsidRPr="00550EDF">
        <w:rPr>
          <w:i/>
          <w:iCs/>
          <w:lang w:val="pl-PL"/>
        </w:rPr>
        <w:t xml:space="preserve">Rumunii </w:t>
      </w:r>
      <w:r w:rsidRPr="00550EDF">
        <w:rPr>
          <w:lang w:val="pl-PL"/>
        </w:rPr>
        <w:t>(dec.), 13902/11, § 18, 20 marca 2012 r.).</w:t>
      </w:r>
    </w:p>
    <w:p w:rsidR="00A2020D" w:rsidRPr="00550EDF" w:rsidRDefault="00A2020D" w:rsidP="001557E3">
      <w:pPr>
        <w:pStyle w:val="JuPara"/>
        <w:rPr>
          <w:lang w:val="pl-PL"/>
        </w:rPr>
      </w:pPr>
      <w:r w:rsidRPr="00550EDF">
        <w:rPr>
          <w:lang w:val="pl-PL"/>
        </w:rPr>
        <w:t>34. Trybunał jest zdania, że ograniczenia wprowadzone na mocy zaskarżonego ustawodawstwa nie powinny być uznawane za „pozbawienie</w:t>
      </w:r>
      <w:r>
        <w:rPr>
          <w:lang w:val="pl-PL"/>
        </w:rPr>
        <w:t xml:space="preserve"> własności</w:t>
      </w:r>
      <w:r w:rsidRPr="00550EDF">
        <w:rPr>
          <w:lang w:val="pl-PL"/>
        </w:rPr>
        <w:t xml:space="preserve">”, jak twierdzą skarżące, ale raczej za ingerencję w prawo do poszanowania mienia do celów pierwszego zdania </w:t>
      </w:r>
      <w:r>
        <w:rPr>
          <w:lang w:val="pl-PL"/>
        </w:rPr>
        <w:t>pierwszego paragrafu</w:t>
      </w:r>
      <w:r w:rsidRPr="00550EDF">
        <w:rPr>
          <w:lang w:val="pl-PL"/>
        </w:rPr>
        <w:t xml:space="preserve"> art. 1 Protokołu nr 1 (zob. </w:t>
      </w:r>
      <w:r w:rsidRPr="00550EDF">
        <w:rPr>
          <w:i/>
          <w:iCs/>
          <w:lang w:val="pl-PL"/>
        </w:rPr>
        <w:t>Kjartan Ásmundsson przeciwko</w:t>
      </w:r>
      <w:r w:rsidRPr="00550EDF">
        <w:rPr>
          <w:lang w:val="pl-PL"/>
        </w:rPr>
        <w:t xml:space="preserve"> </w:t>
      </w:r>
      <w:r w:rsidRPr="00550EDF">
        <w:rPr>
          <w:i/>
          <w:iCs/>
          <w:lang w:val="pl-PL"/>
        </w:rPr>
        <w:t>Islandii</w:t>
      </w:r>
      <w:r w:rsidRPr="00550EDF">
        <w:rPr>
          <w:lang w:val="pl-PL"/>
        </w:rPr>
        <w:t xml:space="preserve">, </w:t>
      </w:r>
      <w:r>
        <w:rPr>
          <w:lang w:val="pl-PL"/>
        </w:rPr>
        <w:t>skarga nr</w:t>
      </w:r>
      <w:r w:rsidRPr="00550EDF">
        <w:rPr>
          <w:lang w:val="pl-PL"/>
        </w:rPr>
        <w:t xml:space="preserve"> 60669/00, § 40, ETPC 2004-IX; </w:t>
      </w:r>
      <w:r w:rsidRPr="00550EDF">
        <w:rPr>
          <w:i/>
          <w:iCs/>
          <w:lang w:val="pl-PL"/>
        </w:rPr>
        <w:t>Wieczorek</w:t>
      </w:r>
      <w:r w:rsidRPr="00550EDF">
        <w:rPr>
          <w:lang w:val="pl-PL"/>
        </w:rPr>
        <w:t xml:space="preserve">, op. cit., § 61; oraz </w:t>
      </w:r>
      <w:r w:rsidRPr="00550EDF">
        <w:rPr>
          <w:i/>
          <w:iCs/>
          <w:lang w:val="pl-PL"/>
        </w:rPr>
        <w:t>Valkov i Inni</w:t>
      </w:r>
      <w:r w:rsidRPr="00550EDF">
        <w:rPr>
          <w:lang w:val="pl-PL"/>
        </w:rPr>
        <w:t>,</w:t>
      </w:r>
      <w:r w:rsidRPr="00550EDF">
        <w:rPr>
          <w:i/>
          <w:iCs/>
          <w:lang w:val="pl-PL"/>
        </w:rPr>
        <w:t xml:space="preserve"> </w:t>
      </w:r>
      <w:r w:rsidRPr="00550EDF">
        <w:rPr>
          <w:lang w:val="pl-PL"/>
        </w:rPr>
        <w:t xml:space="preserve">op. cit., § 88; zob. także, na zasadzie </w:t>
      </w:r>
      <w:r w:rsidRPr="00550EDF">
        <w:rPr>
          <w:i/>
          <w:iCs/>
          <w:lang w:val="pl-PL"/>
        </w:rPr>
        <w:t>mutatis mutandis</w:t>
      </w:r>
      <w:r w:rsidRPr="00550EDF">
        <w:rPr>
          <w:lang w:val="pl-PL"/>
        </w:rPr>
        <w:t xml:space="preserve">, </w:t>
      </w:r>
      <w:r w:rsidRPr="00550EDF">
        <w:rPr>
          <w:i/>
          <w:iCs/>
          <w:lang w:val="pl-PL"/>
        </w:rPr>
        <w:t>Maurice przeciwko</w:t>
      </w:r>
      <w:r w:rsidRPr="00550EDF">
        <w:rPr>
          <w:lang w:val="pl-PL"/>
        </w:rPr>
        <w:t xml:space="preserve"> </w:t>
      </w:r>
      <w:r w:rsidRPr="00550EDF">
        <w:rPr>
          <w:i/>
          <w:iCs/>
          <w:lang w:val="pl-PL"/>
        </w:rPr>
        <w:t>Francji</w:t>
      </w:r>
      <w:r w:rsidRPr="00550EDF">
        <w:rPr>
          <w:lang w:val="pl-PL"/>
        </w:rPr>
        <w:t xml:space="preserve"> [Wielka Izba], </w:t>
      </w:r>
      <w:r>
        <w:rPr>
          <w:lang w:val="pl-PL"/>
        </w:rPr>
        <w:t>skarga nr</w:t>
      </w:r>
      <w:r w:rsidRPr="00550EDF">
        <w:rPr>
          <w:lang w:val="pl-PL"/>
        </w:rPr>
        <w:t xml:space="preserve"> 11810/03, §§ 67-71 i § 79, ETPC 2005-IX; </w:t>
      </w:r>
      <w:r w:rsidRPr="00550EDF">
        <w:rPr>
          <w:i/>
          <w:iCs/>
          <w:lang w:val="pl-PL"/>
        </w:rPr>
        <w:t>Draon przeciwko</w:t>
      </w:r>
      <w:r w:rsidRPr="00550EDF">
        <w:rPr>
          <w:lang w:val="pl-PL"/>
        </w:rPr>
        <w:t xml:space="preserve"> </w:t>
      </w:r>
      <w:r w:rsidRPr="00550EDF">
        <w:rPr>
          <w:i/>
          <w:iCs/>
          <w:lang w:val="pl-PL"/>
        </w:rPr>
        <w:t>Francji</w:t>
      </w:r>
      <w:r w:rsidRPr="00550EDF">
        <w:rPr>
          <w:lang w:val="pl-PL"/>
        </w:rPr>
        <w:t xml:space="preserve"> [Wielka Izba], </w:t>
      </w:r>
      <w:r>
        <w:rPr>
          <w:lang w:val="pl-PL"/>
        </w:rPr>
        <w:t>skarga nr</w:t>
      </w:r>
      <w:r w:rsidRPr="00550EDF">
        <w:rPr>
          <w:lang w:val="pl-PL"/>
        </w:rPr>
        <w:t xml:space="preserve"> 1513/03, §§ 70-72, 6 października 2005 r.; oraz </w:t>
      </w:r>
      <w:r w:rsidRPr="00550EDF">
        <w:rPr>
          <w:i/>
          <w:iCs/>
          <w:lang w:val="pl-PL"/>
        </w:rPr>
        <w:t>Hasani przeciwko</w:t>
      </w:r>
      <w:r w:rsidRPr="00550EDF">
        <w:rPr>
          <w:lang w:val="pl-PL"/>
        </w:rPr>
        <w:t xml:space="preserve"> </w:t>
      </w:r>
      <w:r w:rsidRPr="00550EDF">
        <w:rPr>
          <w:i/>
          <w:iCs/>
          <w:lang w:val="pl-PL"/>
        </w:rPr>
        <w:t xml:space="preserve">Chorwacji </w:t>
      </w:r>
      <w:r w:rsidRPr="00550EDF">
        <w:rPr>
          <w:lang w:val="pl-PL"/>
        </w:rPr>
        <w:t xml:space="preserve">(dec.), </w:t>
      </w:r>
      <w:r>
        <w:rPr>
          <w:lang w:val="pl-PL"/>
        </w:rPr>
        <w:t>skarga nr</w:t>
      </w:r>
      <w:r w:rsidRPr="00550EDF">
        <w:rPr>
          <w:lang w:val="pl-PL"/>
        </w:rPr>
        <w:t xml:space="preserve"> 20844/09, 30 września 2010 r.).</w:t>
      </w:r>
    </w:p>
    <w:p w:rsidR="00A2020D" w:rsidRPr="00550EDF" w:rsidRDefault="00A2020D" w:rsidP="001557E3">
      <w:pPr>
        <w:pStyle w:val="JuPara"/>
        <w:rPr>
          <w:lang w:val="pl-PL"/>
        </w:rPr>
      </w:pPr>
      <w:r w:rsidRPr="00550EDF">
        <w:rPr>
          <w:lang w:val="pl-PL"/>
        </w:rPr>
        <w:t xml:space="preserve">35. Trybunał </w:t>
      </w:r>
      <w:r>
        <w:rPr>
          <w:lang w:val="pl-PL"/>
        </w:rPr>
        <w:t>zauważa, że ing</w:t>
      </w:r>
      <w:r w:rsidRPr="00550EDF">
        <w:rPr>
          <w:lang w:val="pl-PL"/>
        </w:rPr>
        <w:t xml:space="preserve">erencja była przewidziana prawem, tj. </w:t>
      </w:r>
      <w:r>
        <w:rPr>
          <w:lang w:val="pl-PL"/>
        </w:rPr>
        <w:t>Ustawami</w:t>
      </w:r>
      <w:r w:rsidRPr="00550EDF">
        <w:rPr>
          <w:lang w:val="pl-PL"/>
        </w:rPr>
        <w:t xml:space="preserve"> nr 3833/2010 oraz 3845/2010.</w:t>
      </w:r>
    </w:p>
    <w:p w:rsidR="00A2020D" w:rsidRPr="00550EDF" w:rsidRDefault="00A2020D" w:rsidP="001557E3">
      <w:pPr>
        <w:pStyle w:val="JuPara"/>
        <w:rPr>
          <w:lang w:val="pl-PL"/>
        </w:rPr>
      </w:pPr>
      <w:r w:rsidRPr="00550EDF">
        <w:rPr>
          <w:lang w:val="pl-PL"/>
        </w:rPr>
        <w:t xml:space="preserve">36. W ocenie interesu publicznego przedmiotowych środków Trybunał przywiązuje szczególną wagę do </w:t>
      </w:r>
      <w:r w:rsidRPr="00F30261">
        <w:rPr>
          <w:lang w:val="pl-PL"/>
        </w:rPr>
        <w:t>uzasadnienia</w:t>
      </w:r>
      <w:r>
        <w:rPr>
          <w:lang w:val="pl-PL"/>
        </w:rPr>
        <w:t xml:space="preserve"> </w:t>
      </w:r>
      <w:r w:rsidRPr="00550EDF">
        <w:rPr>
          <w:lang w:val="pl-PL"/>
        </w:rPr>
        <w:t>towarzyszącego Ustawie nr 3833/2010 oraz uzasadnienia wyroku nr 668/2012 Naczelnego Sądu Administracyjnego.</w:t>
      </w:r>
    </w:p>
    <w:p w:rsidR="00A2020D" w:rsidRPr="00550EDF" w:rsidRDefault="00A2020D" w:rsidP="001557E3">
      <w:pPr>
        <w:pStyle w:val="JuPara"/>
        <w:rPr>
          <w:lang w:val="pl-PL"/>
        </w:rPr>
      </w:pPr>
      <w:r w:rsidRPr="00550EDF">
        <w:rPr>
          <w:lang w:val="pl-PL"/>
        </w:rPr>
        <w:t xml:space="preserve">37. Trybunał </w:t>
      </w:r>
      <w:r>
        <w:rPr>
          <w:lang w:val="pl-PL"/>
        </w:rPr>
        <w:t>zauważa</w:t>
      </w:r>
      <w:r w:rsidRPr="00550EDF">
        <w:rPr>
          <w:lang w:val="pl-PL"/>
        </w:rPr>
        <w:t xml:space="preserve">, że przyjęcie zaskarżonych środków było uzasadnione zaistnieniem wyjątkowego kryzysu bez precedensu w historii Grecji. Jak podkreślono w </w:t>
      </w:r>
      <w:r>
        <w:rPr>
          <w:lang w:val="pl-PL"/>
        </w:rPr>
        <w:t xml:space="preserve">uzasadnieniu </w:t>
      </w:r>
      <w:r w:rsidRPr="00550EDF">
        <w:rPr>
          <w:lang w:val="pl-PL"/>
        </w:rPr>
        <w:t>towarzysząc</w:t>
      </w:r>
      <w:r>
        <w:rPr>
          <w:lang w:val="pl-PL"/>
        </w:rPr>
        <w:t>y</w:t>
      </w:r>
      <w:r w:rsidRPr="00550EDF">
        <w:rPr>
          <w:lang w:val="pl-PL"/>
        </w:rPr>
        <w:t>m Ustawie nr 3833/2010, był to „najcięższy kryzys finansów publicznych od dekad”, który „podważył wiarygodność kraju, udaremnił wysiłki na rzecz zaspokojenia potrzeb pożyczkowych kraju oraz stanowił poważne zagrożenie dla krajowej gospodarki”. Zgodnie z</w:t>
      </w:r>
      <w:r>
        <w:rPr>
          <w:lang w:val="pl-PL"/>
        </w:rPr>
        <w:t xml:space="preserve"> uzasadnieniem</w:t>
      </w:r>
      <w:r w:rsidRPr="00550EDF">
        <w:rPr>
          <w:lang w:val="pl-PL"/>
        </w:rPr>
        <w:t xml:space="preserve"> </w:t>
      </w:r>
      <w:r>
        <w:rPr>
          <w:lang w:val="pl-PL"/>
        </w:rPr>
        <w:t>z</w:t>
      </w:r>
      <w:r w:rsidRPr="00550EDF">
        <w:rPr>
          <w:lang w:val="pl-PL"/>
        </w:rPr>
        <w:t>nalezienie sposobu wyjścia z kryzysu stanowiło „historyczną odpowiedzialność i narodowy obowiązek”, a Grecja podjęła się „doprowadzenia do konsolidacji fiskalnej w oparciu o precyzyjne cele i precyzyjny harmonogram”... .</w:t>
      </w:r>
    </w:p>
    <w:p w:rsidR="00A2020D" w:rsidRPr="00550EDF" w:rsidRDefault="00A2020D" w:rsidP="001557E3">
      <w:pPr>
        <w:pStyle w:val="JuPara"/>
        <w:rPr>
          <w:lang w:val="pl-PL"/>
        </w:rPr>
      </w:pPr>
      <w:r w:rsidRPr="00550EDF">
        <w:rPr>
          <w:lang w:val="pl-PL"/>
        </w:rPr>
        <w:t xml:space="preserve">38. Naczelny Sąd Administracyjny </w:t>
      </w:r>
      <w:r>
        <w:rPr>
          <w:lang w:val="pl-PL"/>
        </w:rPr>
        <w:t xml:space="preserve">ponadto </w:t>
      </w:r>
      <w:r w:rsidRPr="00550EDF">
        <w:rPr>
          <w:lang w:val="pl-PL"/>
        </w:rPr>
        <w:t xml:space="preserve">zauważył w wyroku nr 668/2012, że cięcia wynagrodzeń, dodatków, premii i emerytur osób pracujących w służbie publicznej w następstwie wyżej wspominanych ustaw stanowiły część szerzej zakrojonego programu na rzecz korekty finansów publicznych oraz reformy strukturalnej greckiej gospodarki, której celem, jako całości, było zaspokojenie palących potrzeb finansowych kraju oraz poprawa jego perspektyw gospodarczych i finansowych na przyszłość. Cele te służyły ogólnemu interesowi, a także były zbieżne z celami krajów członkowskich należących do strefy euro </w:t>
      </w:r>
      <w:r>
        <w:rPr>
          <w:lang w:val="pl-PL"/>
        </w:rPr>
        <w:t>z uwagi na wymóg zawarty</w:t>
      </w:r>
      <w:r w:rsidRPr="00550EDF">
        <w:rPr>
          <w:lang w:val="pl-PL"/>
        </w:rPr>
        <w:t xml:space="preserve"> w ustawodawstwie</w:t>
      </w:r>
      <w:r w:rsidRPr="003B2C22">
        <w:rPr>
          <w:lang w:val="pl-PL"/>
        </w:rPr>
        <w:t xml:space="preserve"> </w:t>
      </w:r>
      <w:r w:rsidRPr="00550EDF">
        <w:rPr>
          <w:lang w:val="pl-PL"/>
        </w:rPr>
        <w:t>unijnym</w:t>
      </w:r>
      <w:r>
        <w:rPr>
          <w:lang w:val="pl-PL"/>
        </w:rPr>
        <w:t>, dotyczący</w:t>
      </w:r>
      <w:r w:rsidRPr="00550EDF">
        <w:rPr>
          <w:lang w:val="pl-PL"/>
        </w:rPr>
        <w:t xml:space="preserve"> zapewnienia dyscypliny budżetowej i zabezpieczenia stabilności strefy euro. Już ze względu na sam swój charakter przedmiotowe środki przyczyniły się do natychmiastowego ograniczenia wydatków publicznych ... .</w:t>
      </w:r>
    </w:p>
    <w:p w:rsidR="00A2020D" w:rsidRPr="00550EDF" w:rsidRDefault="00A2020D" w:rsidP="009B63BE">
      <w:pPr>
        <w:pStyle w:val="JuPara"/>
        <w:rPr>
          <w:lang w:val="pl-PL"/>
        </w:rPr>
      </w:pPr>
      <w:r w:rsidRPr="00550EDF">
        <w:rPr>
          <w:lang w:val="pl-PL"/>
        </w:rPr>
        <w:t xml:space="preserve">39. W tym kontekście Trybunał przypomina, że pojęcie „interesu publicznego” jest z konieczności obszerne. Jak już zauważono, decyzja o przyjęciu ustaw mających na celu zrównoważenie wydatków i przychodów państwa będzie </w:t>
      </w:r>
      <w:r>
        <w:rPr>
          <w:lang w:val="pl-PL"/>
        </w:rPr>
        <w:t xml:space="preserve">zwykle </w:t>
      </w:r>
      <w:r w:rsidRPr="00550EDF">
        <w:rPr>
          <w:lang w:val="pl-PL"/>
        </w:rPr>
        <w:t>obejmować uwzględnienie kwestii politycznych, gospodarczych i</w:t>
      </w:r>
      <w:r>
        <w:rPr>
          <w:lang w:val="pl-PL"/>
        </w:rPr>
        <w:t xml:space="preserve"> społecznych</w:t>
      </w:r>
      <w:r w:rsidRPr="00550EDF">
        <w:rPr>
          <w:lang w:val="pl-PL"/>
        </w:rPr>
        <w:t xml:space="preserve">, a margines oceny, jaki ma do dyspozycji ustawodawca w ramach wdrażania polityk socjalnych i gospodarczych, jest szeroki. Trybunał uszanuje zatem decyzję ustawodawcy o tym, co leży „w interesie publicznym”, chyba że decyzja ta jest wyraźnie bezpodstawna (zob. </w:t>
      </w:r>
      <w:r w:rsidRPr="00550EDF">
        <w:rPr>
          <w:i/>
          <w:iCs/>
          <w:lang w:val="pl-PL"/>
        </w:rPr>
        <w:t>Jahn i Inni</w:t>
      </w:r>
      <w:r w:rsidRPr="00550EDF">
        <w:rPr>
          <w:lang w:val="pl-PL"/>
        </w:rPr>
        <w:t xml:space="preserve">, op.cit., § 91; </w:t>
      </w:r>
      <w:r w:rsidRPr="00550EDF">
        <w:rPr>
          <w:i/>
          <w:iCs/>
          <w:lang w:val="pl-PL"/>
        </w:rPr>
        <w:t>Zvolský i Zvolská przeciwko Republice Czeskiej</w:t>
      </w:r>
      <w:r w:rsidRPr="00550EDF">
        <w:rPr>
          <w:lang w:val="pl-PL"/>
        </w:rPr>
        <w:t xml:space="preserve">, </w:t>
      </w:r>
      <w:r>
        <w:rPr>
          <w:lang w:val="pl-PL"/>
        </w:rPr>
        <w:t>skarga nr</w:t>
      </w:r>
      <w:r w:rsidRPr="00550EDF">
        <w:rPr>
          <w:lang w:val="pl-PL"/>
        </w:rPr>
        <w:t xml:space="preserve"> 46129/99, § 67 </w:t>
      </w:r>
      <w:r w:rsidRPr="00550EDF">
        <w:rPr>
          <w:i/>
          <w:iCs/>
          <w:lang w:val="pl-PL"/>
        </w:rPr>
        <w:t>in fine</w:t>
      </w:r>
      <w:r w:rsidRPr="00550EDF">
        <w:rPr>
          <w:lang w:val="pl-PL"/>
        </w:rPr>
        <w:t xml:space="preserve">, ETPC 2002-IX; oraz </w:t>
      </w:r>
      <w:r w:rsidRPr="00550EDF">
        <w:rPr>
          <w:i/>
          <w:iCs/>
          <w:lang w:val="pl-PL"/>
        </w:rPr>
        <w:t>Mihaieş i Senteş</w:t>
      </w:r>
      <w:r w:rsidRPr="00550EDF">
        <w:rPr>
          <w:lang w:val="pl-PL"/>
        </w:rPr>
        <w:t xml:space="preserve">, op. cit., § 19). W kwestiach polityki ogólnej, </w:t>
      </w:r>
      <w:r>
        <w:rPr>
          <w:lang w:val="pl-PL"/>
        </w:rPr>
        <w:t xml:space="preserve">w sprawie której </w:t>
      </w:r>
      <w:r w:rsidRPr="00550EDF">
        <w:rPr>
          <w:lang w:val="pl-PL"/>
        </w:rPr>
        <w:t>opinie w demokratycznym społeczeństwie mogą być stosunkowo rozbieżne, należy przy</w:t>
      </w:r>
      <w:r>
        <w:rPr>
          <w:lang w:val="pl-PL"/>
        </w:rPr>
        <w:t>znać szczególne znaczenie</w:t>
      </w:r>
      <w:r w:rsidRPr="00550EDF">
        <w:rPr>
          <w:lang w:val="pl-PL"/>
        </w:rPr>
        <w:t xml:space="preserve"> roli krajowego decydenta (zob. </w:t>
      </w:r>
      <w:r w:rsidRPr="00550EDF">
        <w:rPr>
          <w:i/>
          <w:iCs/>
          <w:lang w:val="pl-PL"/>
        </w:rPr>
        <w:t>James i Inni przeciwko Zjednoczonemu Królestwu</w:t>
      </w:r>
      <w:r w:rsidRPr="00550EDF">
        <w:rPr>
          <w:lang w:val="pl-PL"/>
        </w:rPr>
        <w:t xml:space="preserve">, 21 lutego 1986 r., § 46, Seria A nr 98, oraz </w:t>
      </w:r>
      <w:r w:rsidRPr="00550EDF">
        <w:rPr>
          <w:i/>
          <w:iCs/>
          <w:lang w:val="pl-PL"/>
        </w:rPr>
        <w:t>Valkov i Inni</w:t>
      </w:r>
      <w:r w:rsidRPr="00550EDF">
        <w:rPr>
          <w:lang w:val="pl-PL"/>
        </w:rPr>
        <w:t>, op. cit., § 92).</w:t>
      </w:r>
    </w:p>
    <w:p w:rsidR="00A2020D" w:rsidRPr="00550EDF" w:rsidRDefault="00A2020D" w:rsidP="009B63BE">
      <w:pPr>
        <w:pStyle w:val="JuPara"/>
        <w:rPr>
          <w:lang w:val="pl-PL"/>
        </w:rPr>
      </w:pPr>
      <w:r w:rsidRPr="00550EDF">
        <w:rPr>
          <w:lang w:val="pl-PL"/>
        </w:rPr>
        <w:t xml:space="preserve">40. Trybunał </w:t>
      </w:r>
      <w:r>
        <w:rPr>
          <w:lang w:val="pl-PL"/>
        </w:rPr>
        <w:t>również zauważa</w:t>
      </w:r>
      <w:r w:rsidRPr="00550EDF">
        <w:rPr>
          <w:lang w:val="pl-PL"/>
        </w:rPr>
        <w:t>, że poza środkami dotyczącymi wynagrodzeń, jakie określono w Ustawach nr 3833/2010 oraz 3845/2010, wprowadzono również inne środki w ramach innego ustawodawstwa, któr</w:t>
      </w:r>
      <w:r>
        <w:rPr>
          <w:lang w:val="pl-PL"/>
        </w:rPr>
        <w:t>ych</w:t>
      </w:r>
      <w:r w:rsidRPr="00550EDF">
        <w:rPr>
          <w:lang w:val="pl-PL"/>
        </w:rPr>
        <w:t xml:space="preserve"> celem było między innymi przywrócenie </w:t>
      </w:r>
      <w:r>
        <w:rPr>
          <w:lang w:val="pl-PL"/>
        </w:rPr>
        <w:t xml:space="preserve">sprawiedliwości </w:t>
      </w:r>
      <w:r w:rsidRPr="00550EDF">
        <w:rPr>
          <w:lang w:val="pl-PL"/>
        </w:rPr>
        <w:t>opodatkowania i przeciwdziałanie uchylaniu się od podatków, reforma systemu ubezpieczeń społecznych i systemu emerytalnego pracowników służby publicznej, przegląd procedur kontroli i audytu finansów publicznych, otwarcie niektórych zamkniętych zawodów oraz poprawa kondycji spółek państwowych.</w:t>
      </w:r>
    </w:p>
    <w:p w:rsidR="00A2020D" w:rsidRPr="00550EDF" w:rsidRDefault="00A2020D" w:rsidP="009B63BE">
      <w:pPr>
        <w:pStyle w:val="JuPara"/>
        <w:rPr>
          <w:lang w:val="pl-PL"/>
        </w:rPr>
      </w:pPr>
      <w:r w:rsidRPr="00550EDF">
        <w:rPr>
          <w:lang w:val="pl-PL"/>
        </w:rPr>
        <w:t xml:space="preserve">41. Z powyższych względów Trybunał nie ma powodu poddawać w wątpliwość, </w:t>
      </w:r>
      <w:r>
        <w:rPr>
          <w:lang w:val="pl-PL"/>
        </w:rPr>
        <w:t>że</w:t>
      </w:r>
      <w:r w:rsidRPr="00550EDF">
        <w:rPr>
          <w:lang w:val="pl-PL"/>
        </w:rPr>
        <w:t xml:space="preserve"> </w:t>
      </w:r>
      <w:r>
        <w:rPr>
          <w:lang w:val="pl-PL"/>
        </w:rPr>
        <w:t>podejmując decyzje</w:t>
      </w:r>
      <w:r w:rsidRPr="00550EDF">
        <w:rPr>
          <w:lang w:val="pl-PL"/>
        </w:rPr>
        <w:t xml:space="preserve"> o cięciu wynagrodzeń i emerytur pracowników służby publicznej ustawodawca działał w interesie publicznym.</w:t>
      </w:r>
    </w:p>
    <w:p w:rsidR="00A2020D" w:rsidRPr="00550EDF" w:rsidRDefault="00A2020D" w:rsidP="009B63BE">
      <w:pPr>
        <w:pStyle w:val="JuPara"/>
        <w:rPr>
          <w:lang w:val="pl-PL"/>
        </w:rPr>
      </w:pPr>
      <w:r w:rsidRPr="00550EDF">
        <w:rPr>
          <w:lang w:val="pl-PL"/>
        </w:rPr>
        <w:t xml:space="preserve">42. Pozostaje ustalić, czy w niniejszej sprawie osiągnięto </w:t>
      </w:r>
      <w:r>
        <w:rPr>
          <w:lang w:val="pl-PL"/>
        </w:rPr>
        <w:t xml:space="preserve">słuszną </w:t>
      </w:r>
      <w:r w:rsidRPr="00550EDF">
        <w:rPr>
          <w:lang w:val="pl-PL"/>
        </w:rPr>
        <w:t>równowagę między potrzebami ogólnego interesu społeczności a wymogami ochrony praw podstawowych pierwszej skarżącej oraz członków drugiej skarżącej.</w:t>
      </w:r>
    </w:p>
    <w:p w:rsidR="00A2020D" w:rsidRPr="00550EDF" w:rsidRDefault="00A2020D" w:rsidP="009B63BE">
      <w:pPr>
        <w:pStyle w:val="JuPara"/>
        <w:rPr>
          <w:lang w:val="pl-PL"/>
        </w:rPr>
      </w:pPr>
      <w:r w:rsidRPr="00550EDF">
        <w:rPr>
          <w:lang w:val="pl-PL"/>
        </w:rPr>
        <w:t>43. Trybunał zauważa, że Ustawa nr 3833/2010 skutkowała obniżką płac i emerytur wszystkich pracowników lub byłych pracowników służby publicznej o 12%. Zgodnie z uchwaloną dwa miesiące później Ustawą nr 3845/2010 płace i emerytury zostały obniżone o kolejne 8%, wprowadzono cięcia dodatków bożonarodzeniowego, wielkanocnego i wakacyjnego do wysokości odpowiednio 500, 250 i 250 euro, a także określono, że całkowita wysokość miesięcznych wypłat nie powinna przekraczać 3.000 euro. Środki przewidziane Ustawą nr 3845/2010 zostały uznane przez ustawodawcę za niezbędne</w:t>
      </w:r>
      <w:r>
        <w:rPr>
          <w:lang w:val="pl-PL"/>
        </w:rPr>
        <w:t xml:space="preserve"> z uwagi na </w:t>
      </w:r>
      <w:r w:rsidRPr="00550EDF">
        <w:rPr>
          <w:lang w:val="pl-PL"/>
        </w:rPr>
        <w:t xml:space="preserve">fakt, że </w:t>
      </w:r>
      <w:r>
        <w:rPr>
          <w:lang w:val="pl-PL"/>
        </w:rPr>
        <w:t>środki</w:t>
      </w:r>
      <w:r w:rsidRPr="00550EDF">
        <w:rPr>
          <w:lang w:val="pl-PL"/>
        </w:rPr>
        <w:t xml:space="preserve"> przyjęte wcześniej w Ustawie nr 3833/2010 okazały się niewystarczające, aby zaradzić trudnej sytuacji gospodarczej kraju.</w:t>
      </w:r>
    </w:p>
    <w:p w:rsidR="00A2020D" w:rsidRPr="00550EDF" w:rsidRDefault="00A2020D" w:rsidP="009B63BE">
      <w:pPr>
        <w:pStyle w:val="JuPara"/>
        <w:rPr>
          <w:lang w:val="pl-PL"/>
        </w:rPr>
      </w:pPr>
      <w:r w:rsidRPr="00550EDF">
        <w:rPr>
          <w:lang w:val="pl-PL"/>
        </w:rPr>
        <w:t xml:space="preserve">44. Trybunał przywiązuje szczególną wagę do powodów podanych przez Naczelny Sąd Administracyjny, który w swoim wyroku z dnia 20 lutego 2012 roku oddalił kilka argumentów </w:t>
      </w:r>
      <w:r>
        <w:rPr>
          <w:lang w:val="pl-PL"/>
        </w:rPr>
        <w:t>podnoszących</w:t>
      </w:r>
      <w:r w:rsidRPr="00550EDF">
        <w:rPr>
          <w:lang w:val="pl-PL"/>
        </w:rPr>
        <w:t xml:space="preserve">, że przedmiotowe środki naruszyły zasadę proporcjonalności. Dokładnie rzecz biorąc, Naczelny Sąd Administracyjny uznał fakt, że cięcia płac i emerytur nie były wyłącznie tymczasowe, za uzasadniony, gdyż celem ustawodawcy nie było wyłącznie zaradzenie trwającemu wówczas poważnemu kryzysowi budżetowemu, ale również skonsolidowanie finansów państwa w sposób trwały. Ponadto Sąd odniósł się do orzecznictwa Trybunału </w:t>
      </w:r>
      <w:r>
        <w:rPr>
          <w:lang w:val="pl-PL"/>
        </w:rPr>
        <w:t xml:space="preserve">dotyczącego </w:t>
      </w:r>
      <w:r w:rsidRPr="00550EDF">
        <w:rPr>
          <w:lang w:val="pl-PL"/>
        </w:rPr>
        <w:t>tego rodzaju cięć płac i emerytur wprowadz</w:t>
      </w:r>
      <w:r>
        <w:rPr>
          <w:lang w:val="pl-PL"/>
        </w:rPr>
        <w:t>onych przez</w:t>
      </w:r>
      <w:r w:rsidRPr="00550EDF">
        <w:rPr>
          <w:lang w:val="pl-PL"/>
        </w:rPr>
        <w:t xml:space="preserve"> szereg państw w tym samym ogólnym kontekście kryzysu gospodarczego. </w:t>
      </w:r>
      <w:r>
        <w:rPr>
          <w:lang w:val="pl-PL"/>
        </w:rPr>
        <w:t>Z</w:t>
      </w:r>
      <w:r w:rsidRPr="00550EDF">
        <w:rPr>
          <w:lang w:val="pl-PL"/>
        </w:rPr>
        <w:t>auważył</w:t>
      </w:r>
      <w:r>
        <w:rPr>
          <w:lang w:val="pl-PL"/>
        </w:rPr>
        <w:t xml:space="preserve"> ponadto</w:t>
      </w:r>
      <w:r w:rsidRPr="00550EDF">
        <w:rPr>
          <w:lang w:val="pl-PL"/>
        </w:rPr>
        <w:t>, że skarżące nie podniosły w szczególności, że ich sytuacja pogorszyła się do tego stopnia, że były zagrożone znalezieniem się poniżej progu egzystencji.</w:t>
      </w:r>
    </w:p>
    <w:p w:rsidR="00A2020D" w:rsidRPr="00550EDF" w:rsidRDefault="00A2020D" w:rsidP="009B63BE">
      <w:pPr>
        <w:pStyle w:val="JuPara"/>
        <w:rPr>
          <w:lang w:val="pl-PL"/>
        </w:rPr>
      </w:pPr>
      <w:r w:rsidRPr="00550EDF">
        <w:rPr>
          <w:lang w:val="pl-PL"/>
        </w:rPr>
        <w:t xml:space="preserve">45. Trybunał zauważa, że pierwsza skarżąca przedstawiła szczegółowe informacje na temat jej dochodów przed wejściem w życie Ustaw nr 3833/2010 i 3845/2010, po wejściu w życie tego ustawodawstwa, a także po wejściu w życie decyzji administracyjnej przyjętej na </w:t>
      </w:r>
      <w:r>
        <w:rPr>
          <w:lang w:val="pl-PL"/>
        </w:rPr>
        <w:t xml:space="preserve">podstawie </w:t>
      </w:r>
      <w:r w:rsidRPr="00550EDF">
        <w:rPr>
          <w:lang w:val="pl-PL"/>
        </w:rPr>
        <w:t xml:space="preserve">Ustawy nr 4024/2011. W </w:t>
      </w:r>
      <w:r>
        <w:rPr>
          <w:lang w:val="pl-PL"/>
        </w:rPr>
        <w:t>rezultacie</w:t>
      </w:r>
      <w:r w:rsidRPr="00550EDF">
        <w:rPr>
          <w:lang w:val="pl-PL"/>
        </w:rPr>
        <w:t xml:space="preserve"> jej wynagrodzenie netto uległo obniżeniu z 2.435,83 euro do 1.885,79 euro (zob. paragrafy 9 i 13 powyżej).</w:t>
      </w:r>
    </w:p>
    <w:p w:rsidR="00A2020D" w:rsidRPr="00550EDF" w:rsidRDefault="00A2020D" w:rsidP="009B63BE">
      <w:pPr>
        <w:pStyle w:val="JuPara"/>
        <w:rPr>
          <w:lang w:val="pl-PL"/>
        </w:rPr>
      </w:pPr>
      <w:r w:rsidRPr="00550EDF">
        <w:rPr>
          <w:lang w:val="pl-PL"/>
        </w:rPr>
        <w:t xml:space="preserve">46. Trybunał uznaje, że zakres, w jakim wynagrodzenie pierwszej skarżącej uległo obniżeniu, nie narażał jej na ryzyko braku dostatecznych środków na życie, a zatem nie naruszał art. 1 Protokołu nr 1. W związku z powyższym, a zwłaszcza w kontekście kryzysu, w jakim doszło do przedmiotowej ingerencji, nie można uznać </w:t>
      </w:r>
      <w:r>
        <w:rPr>
          <w:lang w:val="pl-PL"/>
        </w:rPr>
        <w:t xml:space="preserve">tej ingerencji </w:t>
      </w:r>
      <w:r w:rsidRPr="00550EDF">
        <w:rPr>
          <w:lang w:val="pl-PL"/>
        </w:rPr>
        <w:t xml:space="preserve">za </w:t>
      </w:r>
      <w:r>
        <w:rPr>
          <w:lang w:val="pl-PL"/>
        </w:rPr>
        <w:t>nakładającą na skarżącą nadmierny ciężar</w:t>
      </w:r>
      <w:r w:rsidRPr="00550EDF">
        <w:rPr>
          <w:lang w:val="pl-PL"/>
        </w:rPr>
        <w:t>.</w:t>
      </w:r>
    </w:p>
    <w:p w:rsidR="00A2020D" w:rsidRPr="00550EDF" w:rsidRDefault="00A2020D" w:rsidP="009B63BE">
      <w:pPr>
        <w:pStyle w:val="JuPara"/>
        <w:rPr>
          <w:lang w:val="pl-PL"/>
        </w:rPr>
      </w:pPr>
      <w:r w:rsidRPr="00550EDF">
        <w:rPr>
          <w:lang w:val="pl-PL"/>
        </w:rPr>
        <w:t xml:space="preserve">47. Co się tyczy proporcjonalności zaskarżonych środków w zakresie płac i emerytur pracowników służby publicznej będących członkami drugiej skarżącej, Trybunał </w:t>
      </w:r>
      <w:r>
        <w:rPr>
          <w:lang w:val="pl-PL"/>
        </w:rPr>
        <w:t xml:space="preserve">odwoła </w:t>
      </w:r>
      <w:r w:rsidRPr="00550EDF">
        <w:rPr>
          <w:lang w:val="pl-PL"/>
        </w:rPr>
        <w:t xml:space="preserve">się </w:t>
      </w:r>
      <w:r>
        <w:rPr>
          <w:lang w:val="pl-PL"/>
        </w:rPr>
        <w:t>po prostu</w:t>
      </w:r>
      <w:r w:rsidRPr="00550EDF">
        <w:rPr>
          <w:lang w:val="pl-PL"/>
        </w:rPr>
        <w:t xml:space="preserve"> do treści samego porozumienia. Zgodnie z porozumieniem, zniesienie wypłaty trzynastej i czternastej emerytury w przypadku osób otrzymujących poniżej 2.500 euro miesięcznie zostało zrekompensowane poprzez wprowadzenie premii w stałej wysokości 800 euro rocznie. Co więcej, podczas gdy wypłata trzynastej i czternastej pensji została zniesiona w stosunku do wszystkich, wprowadzono roczną premię w wysokości 1000 euro, którą sfinansowano poprzez obniżenie dodatków wypłacanych wcześniej tym osobom, które osiągały wyższe dochody. Premia ta została wprowadzona z myślą o ochronie osób w segmencie najniżej zarabiających (osób, które otrzymywały miesięcznie mniej niż 3.000 euro) (zob. paragraf 6 powyżej).</w:t>
      </w:r>
    </w:p>
    <w:p w:rsidR="00A2020D" w:rsidRPr="00550EDF" w:rsidRDefault="00A2020D" w:rsidP="009B63BE">
      <w:pPr>
        <w:pStyle w:val="JuPara"/>
        <w:rPr>
          <w:lang w:val="pl-PL"/>
        </w:rPr>
      </w:pPr>
      <w:r w:rsidRPr="00550EDF">
        <w:rPr>
          <w:lang w:val="pl-PL"/>
        </w:rPr>
        <w:t xml:space="preserve">48. Jeśli idzie o alternatywne rozwiązania, ich potencjalne istnienie samo w sobie nie czyni zaskarżonego ustawodawstwa nieuzasadnionym. Zakładając, że ustawodawca działa w ramach marginesu oceny, do Trybunału nie należy ocena, czy przedmiotowe ustawodawstwo stanowiło najlepsze rozwiązanie dla problemu lub czy ustawodawca powinien skorzystać ze swobody uznania w inny sposób (zob. </w:t>
      </w:r>
      <w:r w:rsidRPr="00550EDF">
        <w:rPr>
          <w:i/>
          <w:iCs/>
          <w:lang w:val="pl-PL"/>
        </w:rPr>
        <w:t>James i Inni</w:t>
      </w:r>
      <w:r w:rsidRPr="00550EDF">
        <w:rPr>
          <w:lang w:val="pl-PL"/>
        </w:rPr>
        <w:t xml:space="preserve">, op. cit., § 51, oraz </w:t>
      </w:r>
      <w:r w:rsidRPr="00550EDF">
        <w:rPr>
          <w:i/>
          <w:iCs/>
          <w:lang w:val="pl-PL"/>
        </w:rPr>
        <w:t>J.A.</w:t>
      </w:r>
      <w:r w:rsidRPr="00550EDF">
        <w:rPr>
          <w:lang w:val="pl-PL"/>
        </w:rPr>
        <w:t xml:space="preserve"> </w:t>
      </w:r>
      <w:r w:rsidRPr="00550EDF">
        <w:rPr>
          <w:i/>
          <w:iCs/>
          <w:lang w:val="pl-PL"/>
        </w:rPr>
        <w:t>Pye (Oxford) Ltd przeciwko Zjednoczonemu Królestwu</w:t>
      </w:r>
      <w:r w:rsidRPr="00550EDF">
        <w:rPr>
          <w:lang w:val="pl-PL"/>
        </w:rPr>
        <w:t xml:space="preserve">, </w:t>
      </w:r>
      <w:r>
        <w:rPr>
          <w:lang w:val="pl-PL"/>
        </w:rPr>
        <w:t>skarga nr</w:t>
      </w:r>
      <w:r w:rsidRPr="00550EDF">
        <w:rPr>
          <w:lang w:val="pl-PL"/>
        </w:rPr>
        <w:t xml:space="preserve"> 44302/02, § 45, 15 listopada 2005 r.).</w:t>
      </w:r>
    </w:p>
    <w:p w:rsidR="00A2020D" w:rsidRPr="00550EDF" w:rsidRDefault="00A2020D" w:rsidP="009B63BE">
      <w:pPr>
        <w:pStyle w:val="JuPara"/>
        <w:rPr>
          <w:lang w:val="pl-PL"/>
        </w:rPr>
      </w:pPr>
      <w:r w:rsidRPr="00550EDF">
        <w:rPr>
          <w:lang w:val="pl-PL"/>
        </w:rPr>
        <w:t>49. W rezultacie Trybunał uznaje, że skarga dotycząca art. 1 Protokołu nr 1 jest w sposób oczywisty bezzasadna i należy ją odrzucić na mocy przepisów art. 35 §§ 3 (a) i 4 Konwencji</w:t>
      </w:r>
    </w:p>
    <w:p w:rsidR="00A2020D" w:rsidRPr="00550EDF" w:rsidRDefault="00A2020D" w:rsidP="009B63BE">
      <w:pPr>
        <w:pStyle w:val="JuPara"/>
        <w:rPr>
          <w:lang w:val="pl-PL"/>
        </w:rPr>
      </w:pPr>
      <w:r w:rsidRPr="00550EDF">
        <w:rPr>
          <w:lang w:val="pl-PL"/>
        </w:rPr>
        <w:t>...</w:t>
      </w:r>
    </w:p>
    <w:p w:rsidR="00A2020D" w:rsidRPr="00550EDF" w:rsidRDefault="00A2020D" w:rsidP="009B63BE">
      <w:pPr>
        <w:pStyle w:val="JuPara"/>
        <w:rPr>
          <w:lang w:val="pl-PL"/>
        </w:rPr>
      </w:pPr>
    </w:p>
    <w:p w:rsidR="00A2020D" w:rsidRPr="00550EDF" w:rsidRDefault="00A2020D">
      <w:pPr>
        <w:pStyle w:val="JuParaLast"/>
        <w:rPr>
          <w:lang w:val="pl-PL"/>
        </w:rPr>
      </w:pPr>
      <w:r w:rsidRPr="00550EDF">
        <w:rPr>
          <w:lang w:val="pl-PL"/>
        </w:rPr>
        <w:t>W związku z powyższym Trybunał jednomyślnie</w:t>
      </w:r>
    </w:p>
    <w:p w:rsidR="00A2020D" w:rsidRPr="00550EDF" w:rsidRDefault="00A2020D">
      <w:pPr>
        <w:pStyle w:val="DecList"/>
        <w:rPr>
          <w:lang w:val="pl-PL"/>
        </w:rPr>
      </w:pPr>
      <w:r w:rsidRPr="00550EDF">
        <w:rPr>
          <w:i/>
          <w:iCs/>
          <w:lang w:val="pl-PL"/>
        </w:rPr>
        <w:t>łączy</w:t>
      </w:r>
      <w:r w:rsidRPr="00550EDF">
        <w:rPr>
          <w:lang w:val="pl-PL"/>
        </w:rPr>
        <w:t xml:space="preserve"> skargi,</w:t>
      </w:r>
    </w:p>
    <w:p w:rsidR="00A2020D" w:rsidRPr="00550EDF" w:rsidRDefault="00A2020D">
      <w:pPr>
        <w:pStyle w:val="DecList"/>
        <w:rPr>
          <w:lang w:val="pl-PL"/>
        </w:rPr>
      </w:pPr>
      <w:r w:rsidRPr="00550EDF">
        <w:rPr>
          <w:i/>
          <w:iCs/>
          <w:lang w:val="pl-PL"/>
        </w:rPr>
        <w:t>uznaje</w:t>
      </w:r>
      <w:r w:rsidRPr="00550EDF">
        <w:rPr>
          <w:lang w:val="pl-PL"/>
        </w:rPr>
        <w:t xml:space="preserve"> skargi za niedopuszczalne.</w:t>
      </w:r>
    </w:p>
    <w:p w:rsidR="00A2020D" w:rsidRPr="00550EDF" w:rsidRDefault="00A2020D">
      <w:pPr>
        <w:pStyle w:val="DecList"/>
        <w:rPr>
          <w:lang w:val="pl-PL"/>
        </w:rPr>
      </w:pPr>
    </w:p>
    <w:p w:rsidR="00A2020D" w:rsidRPr="00550EDF" w:rsidRDefault="00A2020D">
      <w:pPr>
        <w:pStyle w:val="DecList"/>
        <w:rPr>
          <w:lang w:val="pl-PL"/>
        </w:rPr>
      </w:pPr>
      <w:r w:rsidRPr="00550EDF">
        <w:rPr>
          <w:lang w:val="pl-PL"/>
        </w:rPr>
        <w:t>André Wampach</w:t>
      </w:r>
      <w:r>
        <w:rPr>
          <w:lang w:val="pl-PL"/>
        </w:rPr>
        <w:tab/>
      </w:r>
      <w:r>
        <w:rPr>
          <w:lang w:val="pl-PL"/>
        </w:rPr>
        <w:tab/>
      </w:r>
      <w:r>
        <w:rPr>
          <w:lang w:val="pl-PL"/>
        </w:rPr>
        <w:tab/>
      </w:r>
      <w:r>
        <w:rPr>
          <w:lang w:val="pl-PL"/>
        </w:rPr>
        <w:tab/>
      </w:r>
      <w:r>
        <w:rPr>
          <w:lang w:val="pl-PL"/>
        </w:rPr>
        <w:tab/>
      </w:r>
      <w:r w:rsidRPr="00550EDF">
        <w:rPr>
          <w:lang w:val="pl-PL"/>
        </w:rPr>
        <w:t>Isabelle Berro-Lefèvre</w:t>
      </w:r>
      <w:r>
        <w:rPr>
          <w:lang w:val="pl-PL"/>
        </w:rPr>
        <w:br/>
      </w:r>
      <w:r w:rsidRPr="00550EDF">
        <w:rPr>
          <w:lang w:val="pl-PL"/>
        </w:rPr>
        <w:t>Zastępca Kanclerza</w:t>
      </w:r>
      <w:r>
        <w:rPr>
          <w:lang w:val="pl-PL"/>
        </w:rPr>
        <w:tab/>
      </w:r>
      <w:r>
        <w:rPr>
          <w:lang w:val="pl-PL"/>
        </w:rPr>
        <w:tab/>
      </w:r>
      <w:r>
        <w:rPr>
          <w:lang w:val="pl-PL"/>
        </w:rPr>
        <w:tab/>
      </w:r>
      <w:r>
        <w:rPr>
          <w:lang w:val="pl-PL"/>
        </w:rPr>
        <w:tab/>
        <w:t xml:space="preserve">       P</w:t>
      </w:r>
      <w:r w:rsidRPr="00550EDF">
        <w:rPr>
          <w:lang w:val="pl-PL"/>
        </w:rPr>
        <w:t>rzewodnicząca</w:t>
      </w:r>
    </w:p>
    <w:sectPr w:rsidR="00A2020D" w:rsidRPr="00550EDF" w:rsidSect="00550EDF">
      <w:headerReference w:type="even" r:id="rId7"/>
      <w:headerReference w:type="default" r:id="rId8"/>
      <w:headerReference w:type="first" r:id="rId9"/>
      <w:pgSz w:w="11906" w:h="16838"/>
      <w:pgMar w:top="2274" w:right="2274" w:bottom="2274" w:left="2274" w:header="1701"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20D" w:rsidRDefault="00A2020D">
      <w:r>
        <w:separator/>
      </w:r>
    </w:p>
  </w:endnote>
  <w:endnote w:type="continuationSeparator" w:id="0">
    <w:p w:rsidR="00A2020D" w:rsidRDefault="00A202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20D" w:rsidRDefault="00A2020D">
      <w:r>
        <w:separator/>
      </w:r>
    </w:p>
  </w:footnote>
  <w:footnote w:type="continuationSeparator" w:id="0">
    <w:p w:rsidR="00A2020D" w:rsidRDefault="00A2020D">
      <w:r>
        <w:continuationSeparator/>
      </w:r>
    </w:p>
  </w:footnote>
  <w:footnote w:id="1">
    <w:p w:rsidR="00A2020D" w:rsidRDefault="00A2020D">
      <w:pPr>
        <w:pStyle w:val="FootnoteText"/>
      </w:pPr>
      <w:r>
        <w:rPr>
          <w:rStyle w:val="FootnoteReference"/>
        </w:rPr>
        <w:footnoteRef/>
      </w:r>
      <w:r w:rsidRPr="00F83DF7">
        <w:rPr>
          <w:lang w:val="pl-PL"/>
        </w:rPr>
        <w:t xml:space="preserve"> </w:t>
      </w:r>
      <w:r>
        <w:rPr>
          <w:lang w:val="pl-PL"/>
        </w:rPr>
        <w:t>Niniejsze tłumaczenie zostało przygotowane w oparciu o wyciąg z decyzji, która została przyjęta w języku francuskim, przygotowany w języku angielskim przez Kancelarię Europejskiego Trybunału Praw Człowieka.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20D" w:rsidRPr="00550EDF" w:rsidRDefault="00A2020D">
    <w:pPr>
      <w:pStyle w:val="Header"/>
      <w:rPr>
        <w:lang w:val="pl-PL"/>
      </w:rPr>
    </w:pPr>
    <w:r w:rsidRPr="00550EDF">
      <w:rPr>
        <w:rStyle w:val="PageNumber"/>
        <w:lang w:val="pl-PL"/>
      </w:rPr>
      <w:fldChar w:fldCharType="begin"/>
    </w:r>
    <w:r w:rsidRPr="00550EDF">
      <w:rPr>
        <w:rStyle w:val="PageNumber"/>
        <w:lang w:val="pl-PL"/>
      </w:rPr>
      <w:instrText xml:space="preserve"> PAGE </w:instrText>
    </w:r>
    <w:r w:rsidRPr="00550EDF">
      <w:rPr>
        <w:rStyle w:val="PageNumber"/>
        <w:lang w:val="pl-PL"/>
      </w:rPr>
      <w:fldChar w:fldCharType="separate"/>
    </w:r>
    <w:r>
      <w:rPr>
        <w:rStyle w:val="PageNumber"/>
        <w:noProof/>
        <w:lang w:val="pl-PL"/>
      </w:rPr>
      <w:t>2</w:t>
    </w:r>
    <w:r w:rsidRPr="00550EDF">
      <w:rPr>
        <w:rStyle w:val="PageNumber"/>
        <w:lang w:val="pl-PL"/>
      </w:rPr>
      <w:fldChar w:fldCharType="end"/>
    </w:r>
    <w:r w:rsidRPr="0016568D">
      <w:rPr>
        <w:lang w:val="pl-PL"/>
      </w:rPr>
      <w:tab/>
    </w:r>
    <w:r w:rsidRPr="00550EDF">
      <w:rPr>
        <w:lang w:val="pl-PL"/>
      </w:rPr>
      <w:t>DECYZJA KOUFAKI I ADEDY PRZECIWKO GRECJI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20D" w:rsidRPr="00550EDF" w:rsidRDefault="00A2020D">
    <w:pPr>
      <w:pStyle w:val="Header"/>
      <w:rPr>
        <w:lang w:val="pl-PL"/>
      </w:rPr>
    </w:pPr>
    <w:r>
      <w:tab/>
    </w:r>
    <w:r w:rsidRPr="00550EDF">
      <w:rPr>
        <w:lang w:val="pl-PL"/>
      </w:rPr>
      <w:t>DECYZJA KOUFAKI I ADEDY PRZECIWKO GRECJI</w:t>
    </w:r>
    <w:r>
      <w:rPr>
        <w:lang w:val="pl-PL"/>
      </w:rPr>
      <w:tab/>
    </w:r>
    <w:r w:rsidRPr="00550EDF">
      <w:rPr>
        <w:rStyle w:val="PageNumber"/>
        <w:lang w:val="pl-PL"/>
      </w:rPr>
      <w:fldChar w:fldCharType="begin"/>
    </w:r>
    <w:r w:rsidRPr="00550EDF">
      <w:rPr>
        <w:rStyle w:val="PageNumber"/>
        <w:lang w:val="pl-PL"/>
      </w:rPr>
      <w:instrText xml:space="preserve"> PAGE </w:instrText>
    </w:r>
    <w:r w:rsidRPr="00550EDF">
      <w:rPr>
        <w:rStyle w:val="PageNumber"/>
        <w:lang w:val="pl-PL"/>
      </w:rPr>
      <w:fldChar w:fldCharType="separate"/>
    </w:r>
    <w:r>
      <w:rPr>
        <w:rStyle w:val="PageNumber"/>
        <w:noProof/>
        <w:lang w:val="pl-PL"/>
      </w:rPr>
      <w:t>11</w:t>
    </w:r>
    <w:r w:rsidRPr="00550EDF">
      <w:rPr>
        <w:rStyle w:val="PageNumber"/>
        <w:lang w:val="pl-PL"/>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20D" w:rsidRDefault="00A2020D">
    <w:pPr>
      <w:pStyle w:val="Header"/>
    </w:pPr>
    <w:r w:rsidRPr="00821D2B">
      <w:rPr>
        <w:noProof/>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TranspDocHeaderBigBlack" style="width:322.5pt;height:164.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5A6AC62"/>
    <w:lvl w:ilvl="0">
      <w:start w:val="1"/>
      <w:numFmt w:val="bullet"/>
      <w:lvlText w:val=""/>
      <w:lvlJc w:val="left"/>
      <w:pPr>
        <w:tabs>
          <w:tab w:val="num" w:pos="360"/>
        </w:tabs>
        <w:ind w:left="360" w:hanging="360"/>
      </w:pPr>
      <w:rPr>
        <w:rFonts w:ascii="Symbol" w:hAnsi="Symbol" w:cs="Symbol" w:hint="default"/>
      </w:rPr>
    </w:lvl>
  </w:abstractNum>
  <w:abstractNum w:abstractNumId="1">
    <w:nsid w:val="37351914"/>
    <w:multiLevelType w:val="singleLevel"/>
    <w:tmpl w:val="AEB835EC"/>
    <w:lvl w:ilvl="0">
      <w:start w:val="1"/>
      <w:numFmt w:val="bullet"/>
      <w:lvlText w:val=""/>
      <w:lvlJc w:val="left"/>
      <w:pPr>
        <w:tabs>
          <w:tab w:val="num" w:pos="360"/>
        </w:tabs>
        <w:ind w:left="357" w:hanging="357"/>
      </w:pPr>
      <w:rPr>
        <w:rFonts w:ascii="Symbol" w:hAnsi="Symbol" w:cs="Symbol" w:hint="default"/>
        <w:b w:val="0"/>
        <w:bCs w:val="0"/>
        <w:i w:val="0"/>
        <w:iCs w:val="0"/>
        <w:sz w:val="16"/>
        <w:szCs w:val="16"/>
      </w:rPr>
    </w:lvl>
  </w:abstractNum>
  <w:abstractNum w:abstractNumId="2">
    <w:nsid w:val="3E626E9E"/>
    <w:multiLevelType w:val="singleLevel"/>
    <w:tmpl w:val="E484225C"/>
    <w:lvl w:ilvl="0">
      <w:numFmt w:val="bullet"/>
      <w:pStyle w:val="ListBullet"/>
      <w:lvlText w:val="–"/>
      <w:lvlJc w:val="left"/>
      <w:pPr>
        <w:tabs>
          <w:tab w:val="num" w:pos="360"/>
        </w:tabs>
        <w:ind w:left="360" w:hanging="360"/>
      </w:pPr>
      <w:rPr>
        <w:rFonts w:hint="default"/>
      </w:rPr>
    </w:lvl>
  </w:abstractNum>
  <w:abstractNum w:abstractNumId="3">
    <w:nsid w:val="7BBE6CBD"/>
    <w:multiLevelType w:val="hybridMultilevel"/>
    <w:tmpl w:val="5B122094"/>
    <w:lvl w:ilvl="0" w:tplc="4FDAD2AA">
      <w:start w:val="1"/>
      <w:numFmt w:val="decimal"/>
      <w:pStyle w:val="JuAppQuestion"/>
      <w:lvlText w:val="%1."/>
      <w:lvlJc w:val="left"/>
      <w:pPr>
        <w:tabs>
          <w:tab w:val="num" w:pos="720"/>
        </w:tabs>
        <w:ind w:left="720" w:hanging="360"/>
      </w:pPr>
      <w:rPr>
        <w:rFonts w:ascii="Cambria" w:hAnsi="Cambria" w:cs="Cambria" w:hint="default"/>
        <w:b/>
        <w:bCs/>
        <w:i w:val="0"/>
        <w:iCs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2"/>
  </w:num>
  <w:num w:numId="15">
    <w:abstractNumId w:val="0"/>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720"/>
  <w:hyphenationZone w:val="425"/>
  <w:doNotHyphenateCaps/>
  <w:evenAndOddHeader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NatAutre" w:val="0"/>
    <w:docVar w:name="dgnword-docGUID" w:val="{F3493483-9481-4B1E-8208-DFC11ADC9366}"/>
    <w:docVar w:name="dgnword-eventsink" w:val="276803888"/>
    <w:docVar w:name="DocVarPREMATURE" w:val="0"/>
    <w:docVar w:name="EMM" w:val="0"/>
    <w:docVar w:name="ETRANSMISSION" w:val="BY E-TRANSMISSION ONLY"/>
    <w:docVar w:name="L4_1Annex" w:val="0"/>
    <w:docVar w:name="L4_1Anonymity" w:val="0"/>
    <w:docVar w:name="NBEMMDOC" w:val="0"/>
    <w:docVar w:name="SignForeName" w:val="0"/>
  </w:docVars>
  <w:rsids>
    <w:rsidRoot w:val="001D2BF4"/>
    <w:rsid w:val="00017A8C"/>
    <w:rsid w:val="00022A73"/>
    <w:rsid w:val="00031F39"/>
    <w:rsid w:val="00053A49"/>
    <w:rsid w:val="00070744"/>
    <w:rsid w:val="00091E56"/>
    <w:rsid w:val="000A2CE7"/>
    <w:rsid w:val="000A3F71"/>
    <w:rsid w:val="000B27F3"/>
    <w:rsid w:val="000B3BD0"/>
    <w:rsid w:val="000B4E8F"/>
    <w:rsid w:val="000C1444"/>
    <w:rsid w:val="000D5FC8"/>
    <w:rsid w:val="0010050E"/>
    <w:rsid w:val="001061C7"/>
    <w:rsid w:val="00117565"/>
    <w:rsid w:val="001324E0"/>
    <w:rsid w:val="001531C6"/>
    <w:rsid w:val="001557E3"/>
    <w:rsid w:val="0016568D"/>
    <w:rsid w:val="00177372"/>
    <w:rsid w:val="00186E82"/>
    <w:rsid w:val="001A5526"/>
    <w:rsid w:val="001B472C"/>
    <w:rsid w:val="001D2BF4"/>
    <w:rsid w:val="001F5DB9"/>
    <w:rsid w:val="00232F2D"/>
    <w:rsid w:val="002858F3"/>
    <w:rsid w:val="002C4C49"/>
    <w:rsid w:val="002D7DA7"/>
    <w:rsid w:val="002F78F0"/>
    <w:rsid w:val="003064A7"/>
    <w:rsid w:val="00321370"/>
    <w:rsid w:val="003301C2"/>
    <w:rsid w:val="00334026"/>
    <w:rsid w:val="00335496"/>
    <w:rsid w:val="00362B4A"/>
    <w:rsid w:val="003A58CA"/>
    <w:rsid w:val="003B010E"/>
    <w:rsid w:val="003B2C22"/>
    <w:rsid w:val="003B60AB"/>
    <w:rsid w:val="003D1E00"/>
    <w:rsid w:val="004234A5"/>
    <w:rsid w:val="00430EE8"/>
    <w:rsid w:val="004345DE"/>
    <w:rsid w:val="00461C2C"/>
    <w:rsid w:val="004849AF"/>
    <w:rsid w:val="004920CA"/>
    <w:rsid w:val="00492121"/>
    <w:rsid w:val="004C12F9"/>
    <w:rsid w:val="004D46D2"/>
    <w:rsid w:val="004E414F"/>
    <w:rsid w:val="004F5599"/>
    <w:rsid w:val="00505677"/>
    <w:rsid w:val="0051743A"/>
    <w:rsid w:val="00540376"/>
    <w:rsid w:val="00550C63"/>
    <w:rsid w:val="00550EDF"/>
    <w:rsid w:val="00560D8F"/>
    <w:rsid w:val="00580B58"/>
    <w:rsid w:val="0058376C"/>
    <w:rsid w:val="00587095"/>
    <w:rsid w:val="005934E0"/>
    <w:rsid w:val="005B59CB"/>
    <w:rsid w:val="005B5F7A"/>
    <w:rsid w:val="005C49D0"/>
    <w:rsid w:val="005E2883"/>
    <w:rsid w:val="005F31DB"/>
    <w:rsid w:val="006136DF"/>
    <w:rsid w:val="00617ADB"/>
    <w:rsid w:val="00623B49"/>
    <w:rsid w:val="00626E80"/>
    <w:rsid w:val="006418F1"/>
    <w:rsid w:val="006429C4"/>
    <w:rsid w:val="006564BA"/>
    <w:rsid w:val="00665D3E"/>
    <w:rsid w:val="00665FE6"/>
    <w:rsid w:val="0068601A"/>
    <w:rsid w:val="00690B79"/>
    <w:rsid w:val="006A4BB0"/>
    <w:rsid w:val="006B30E1"/>
    <w:rsid w:val="006B3E28"/>
    <w:rsid w:val="006B4CC1"/>
    <w:rsid w:val="006B6645"/>
    <w:rsid w:val="006B6B51"/>
    <w:rsid w:val="006C319B"/>
    <w:rsid w:val="006E5C16"/>
    <w:rsid w:val="006F0918"/>
    <w:rsid w:val="00702AEE"/>
    <w:rsid w:val="0071646E"/>
    <w:rsid w:val="0071755C"/>
    <w:rsid w:val="00726A98"/>
    <w:rsid w:val="00727669"/>
    <w:rsid w:val="00733D2C"/>
    <w:rsid w:val="0076065B"/>
    <w:rsid w:val="0079383C"/>
    <w:rsid w:val="007C4C11"/>
    <w:rsid w:val="007E1C1D"/>
    <w:rsid w:val="007E210E"/>
    <w:rsid w:val="007E24AF"/>
    <w:rsid w:val="007F1E2A"/>
    <w:rsid w:val="007F3A7E"/>
    <w:rsid w:val="00804057"/>
    <w:rsid w:val="00813E2A"/>
    <w:rsid w:val="00820CF5"/>
    <w:rsid w:val="00821D2B"/>
    <w:rsid w:val="00833101"/>
    <w:rsid w:val="008643AD"/>
    <w:rsid w:val="00865B77"/>
    <w:rsid w:val="0086683F"/>
    <w:rsid w:val="008777C6"/>
    <w:rsid w:val="00882E55"/>
    <w:rsid w:val="008A4BCB"/>
    <w:rsid w:val="008A5347"/>
    <w:rsid w:val="008B36C1"/>
    <w:rsid w:val="008C26B5"/>
    <w:rsid w:val="008D4C91"/>
    <w:rsid w:val="008D781B"/>
    <w:rsid w:val="00907CEA"/>
    <w:rsid w:val="00921CF1"/>
    <w:rsid w:val="00944175"/>
    <w:rsid w:val="009904CC"/>
    <w:rsid w:val="00997196"/>
    <w:rsid w:val="009A6AB9"/>
    <w:rsid w:val="009B0204"/>
    <w:rsid w:val="009B0C90"/>
    <w:rsid w:val="009B193D"/>
    <w:rsid w:val="009B63BE"/>
    <w:rsid w:val="009C5CA7"/>
    <w:rsid w:val="009E3CBA"/>
    <w:rsid w:val="00A03EBE"/>
    <w:rsid w:val="00A2020D"/>
    <w:rsid w:val="00A31068"/>
    <w:rsid w:val="00A40AA4"/>
    <w:rsid w:val="00A65DCA"/>
    <w:rsid w:val="00A855D5"/>
    <w:rsid w:val="00AD694C"/>
    <w:rsid w:val="00AF631B"/>
    <w:rsid w:val="00AF7633"/>
    <w:rsid w:val="00B06F45"/>
    <w:rsid w:val="00B316B4"/>
    <w:rsid w:val="00B339E5"/>
    <w:rsid w:val="00B7169F"/>
    <w:rsid w:val="00B74F22"/>
    <w:rsid w:val="00BC0EB3"/>
    <w:rsid w:val="00BE660D"/>
    <w:rsid w:val="00C2552C"/>
    <w:rsid w:val="00C35CA5"/>
    <w:rsid w:val="00C55FB1"/>
    <w:rsid w:val="00C628C4"/>
    <w:rsid w:val="00C63572"/>
    <w:rsid w:val="00C756D7"/>
    <w:rsid w:val="00CB04AB"/>
    <w:rsid w:val="00CB5809"/>
    <w:rsid w:val="00CC6C55"/>
    <w:rsid w:val="00CE53E3"/>
    <w:rsid w:val="00CF33A8"/>
    <w:rsid w:val="00D24391"/>
    <w:rsid w:val="00D31DFB"/>
    <w:rsid w:val="00D506DA"/>
    <w:rsid w:val="00D50C31"/>
    <w:rsid w:val="00D62EEF"/>
    <w:rsid w:val="00D73649"/>
    <w:rsid w:val="00D76FFA"/>
    <w:rsid w:val="00D77471"/>
    <w:rsid w:val="00DA11E9"/>
    <w:rsid w:val="00DA18A2"/>
    <w:rsid w:val="00DD4576"/>
    <w:rsid w:val="00DD72BF"/>
    <w:rsid w:val="00DE3F44"/>
    <w:rsid w:val="00DF1836"/>
    <w:rsid w:val="00DF23D3"/>
    <w:rsid w:val="00E318BC"/>
    <w:rsid w:val="00E5778F"/>
    <w:rsid w:val="00E64D35"/>
    <w:rsid w:val="00E901AE"/>
    <w:rsid w:val="00EA0332"/>
    <w:rsid w:val="00EB15FD"/>
    <w:rsid w:val="00EC6F79"/>
    <w:rsid w:val="00EC72E8"/>
    <w:rsid w:val="00EE0B9F"/>
    <w:rsid w:val="00EE3697"/>
    <w:rsid w:val="00EF585B"/>
    <w:rsid w:val="00F0128A"/>
    <w:rsid w:val="00F02FD0"/>
    <w:rsid w:val="00F042B1"/>
    <w:rsid w:val="00F060B6"/>
    <w:rsid w:val="00F11C5C"/>
    <w:rsid w:val="00F15EAF"/>
    <w:rsid w:val="00F30261"/>
    <w:rsid w:val="00F34236"/>
    <w:rsid w:val="00F36A11"/>
    <w:rsid w:val="00F46ECC"/>
    <w:rsid w:val="00F52F2A"/>
    <w:rsid w:val="00F54D25"/>
    <w:rsid w:val="00F75407"/>
    <w:rsid w:val="00F83DF7"/>
    <w:rsid w:val="00F851A8"/>
    <w:rsid w:val="00F856C7"/>
    <w:rsid w:val="00F96986"/>
    <w:rsid w:val="00F97449"/>
    <w:rsid w:val="00FA5CAE"/>
    <w:rsid w:val="00FA5EF7"/>
    <w:rsid w:val="00FC71B8"/>
    <w:rsid w:val="00FD2BFE"/>
    <w:rsid w:val="00FD65A2"/>
    <w:rsid w:val="00FE330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F22"/>
    <w:pPr>
      <w:suppressAutoHyphens/>
    </w:pPr>
    <w:rPr>
      <w:sz w:val="24"/>
      <w:szCs w:val="24"/>
      <w:lang w:val="en-GB" w:eastAsia="en-GB"/>
    </w:rPr>
  </w:style>
  <w:style w:type="paragraph" w:styleId="Heading1">
    <w:name w:val="heading 1"/>
    <w:basedOn w:val="Normal"/>
    <w:next w:val="Normal"/>
    <w:link w:val="Heading1Char"/>
    <w:uiPriority w:val="99"/>
    <w:qFormat/>
    <w:rsid w:val="00B74F22"/>
    <w:pPr>
      <w:keepNext/>
      <w:spacing w:before="360" w:after="240"/>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B74F22"/>
    <w:pPr>
      <w:keepNext/>
      <w:spacing w:before="240" w:after="120"/>
      <w:ind w:left="284" w:hanging="284"/>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B74F22"/>
    <w:pPr>
      <w:keepNext/>
      <w:spacing w:before="120" w:after="60"/>
      <w:ind w:left="1418" w:hanging="851"/>
      <w:outlineLvl w:val="2"/>
    </w:pPr>
    <w:rPr>
      <w:rFonts w:ascii="Cambria"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3649"/>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semiHidden/>
    <w:locked/>
    <w:rsid w:val="00D73649"/>
    <w:rPr>
      <w:rFonts w:ascii="Cambria" w:hAnsi="Cambria" w:cs="Cambria"/>
      <w:b/>
      <w:bCs/>
      <w:i/>
      <w:iCs/>
      <w:sz w:val="28"/>
      <w:szCs w:val="28"/>
      <w:lang w:val="en-GB" w:eastAsia="en-GB"/>
    </w:rPr>
  </w:style>
  <w:style w:type="character" w:customStyle="1" w:styleId="Heading3Char">
    <w:name w:val="Heading 3 Char"/>
    <w:basedOn w:val="DefaultParagraphFont"/>
    <w:link w:val="Heading3"/>
    <w:uiPriority w:val="99"/>
    <w:semiHidden/>
    <w:locked/>
    <w:rsid w:val="00D73649"/>
    <w:rPr>
      <w:rFonts w:ascii="Cambria" w:hAnsi="Cambria" w:cs="Cambria"/>
      <w:b/>
      <w:bCs/>
      <w:sz w:val="26"/>
      <w:szCs w:val="26"/>
      <w:lang w:val="en-GB" w:eastAsia="en-GB"/>
    </w:rPr>
  </w:style>
  <w:style w:type="paragraph" w:styleId="BalloonText">
    <w:name w:val="Balloon Text"/>
    <w:basedOn w:val="Normal"/>
    <w:link w:val="BalloonTextChar"/>
    <w:uiPriority w:val="99"/>
    <w:semiHidden/>
    <w:rsid w:val="00FE3306"/>
    <w:rPr>
      <w:sz w:val="2"/>
      <w:szCs w:val="2"/>
    </w:rPr>
  </w:style>
  <w:style w:type="character" w:customStyle="1" w:styleId="BalloonTextChar">
    <w:name w:val="Balloon Text Char"/>
    <w:basedOn w:val="DefaultParagraphFont"/>
    <w:link w:val="BalloonText"/>
    <w:uiPriority w:val="99"/>
    <w:semiHidden/>
    <w:locked/>
    <w:rsid w:val="00D73649"/>
    <w:rPr>
      <w:sz w:val="2"/>
      <w:szCs w:val="2"/>
      <w:lang w:val="en-GB" w:eastAsia="en-GB"/>
    </w:rPr>
  </w:style>
  <w:style w:type="paragraph" w:customStyle="1" w:styleId="JuPara">
    <w:name w:val="Ju_Para"/>
    <w:aliases w:val="Left,First line:  0 cm"/>
    <w:basedOn w:val="Normal"/>
    <w:link w:val="JuParaChar"/>
    <w:uiPriority w:val="99"/>
    <w:rsid w:val="00E901AE"/>
    <w:pPr>
      <w:suppressAutoHyphens w:val="0"/>
      <w:ind w:firstLine="284"/>
      <w:jc w:val="both"/>
    </w:pPr>
    <w:rPr>
      <w:lang w:eastAsia="fr-FR"/>
    </w:rPr>
  </w:style>
  <w:style w:type="paragraph" w:customStyle="1" w:styleId="JuCase">
    <w:name w:val="Ju_Case"/>
    <w:basedOn w:val="JuPara"/>
    <w:next w:val="JuPara"/>
    <w:uiPriority w:val="99"/>
    <w:rsid w:val="003064A7"/>
    <w:rPr>
      <w:b/>
      <w:bCs/>
    </w:rPr>
  </w:style>
  <w:style w:type="paragraph" w:customStyle="1" w:styleId="JuJudges">
    <w:name w:val="Ju_Judges"/>
    <w:basedOn w:val="Normal"/>
    <w:link w:val="JuJudgesChar"/>
    <w:uiPriority w:val="99"/>
    <w:rsid w:val="00E901AE"/>
    <w:pPr>
      <w:tabs>
        <w:tab w:val="left" w:pos="567"/>
        <w:tab w:val="left" w:pos="1134"/>
      </w:tabs>
    </w:pPr>
  </w:style>
  <w:style w:type="paragraph" w:customStyle="1" w:styleId="JuCourt">
    <w:name w:val="Ju_Court"/>
    <w:basedOn w:val="JuJudges"/>
    <w:uiPriority w:val="99"/>
    <w:rsid w:val="003064A7"/>
    <w:pPr>
      <w:tabs>
        <w:tab w:val="clear" w:pos="567"/>
        <w:tab w:val="clear" w:pos="1134"/>
        <w:tab w:val="left" w:pos="907"/>
        <w:tab w:val="left" w:pos="1701"/>
        <w:tab w:val="right" w:pos="7371"/>
      </w:tabs>
      <w:suppressAutoHyphens w:val="0"/>
      <w:spacing w:before="240"/>
      <w:ind w:left="397" w:hanging="397"/>
    </w:pPr>
    <w:rPr>
      <w:lang w:eastAsia="fr-FR"/>
    </w:rPr>
  </w:style>
  <w:style w:type="paragraph" w:customStyle="1" w:styleId="JuHHead">
    <w:name w:val="Ju_H_Head"/>
    <w:basedOn w:val="Normal"/>
    <w:next w:val="JuPara"/>
    <w:uiPriority w:val="99"/>
    <w:rsid w:val="00E901AE"/>
    <w:pPr>
      <w:keepNext/>
      <w:keepLines/>
      <w:suppressAutoHyphens w:val="0"/>
      <w:spacing w:before="720" w:after="240"/>
      <w:jc w:val="both"/>
      <w:outlineLvl w:val="0"/>
    </w:pPr>
    <w:rPr>
      <w:sz w:val="28"/>
      <w:szCs w:val="28"/>
      <w:lang w:eastAsia="fr-FR"/>
    </w:rPr>
  </w:style>
  <w:style w:type="paragraph" w:customStyle="1" w:styleId="JuHIRoman">
    <w:name w:val="Ju_H_I_Roman"/>
    <w:basedOn w:val="JuHHead"/>
    <w:next w:val="JuPara"/>
    <w:uiPriority w:val="99"/>
    <w:rsid w:val="003064A7"/>
    <w:pPr>
      <w:tabs>
        <w:tab w:val="left" w:pos="357"/>
      </w:tabs>
      <w:spacing w:before="360"/>
      <w:ind w:left="357" w:hanging="357"/>
      <w:outlineLvl w:val="1"/>
    </w:pPr>
    <w:rPr>
      <w:sz w:val="24"/>
      <w:szCs w:val="24"/>
    </w:rPr>
  </w:style>
  <w:style w:type="paragraph" w:customStyle="1" w:styleId="JuHA">
    <w:name w:val="Ju_H_A"/>
    <w:basedOn w:val="JuHIRoman"/>
    <w:next w:val="JuPara"/>
    <w:uiPriority w:val="99"/>
    <w:rsid w:val="003064A7"/>
    <w:pPr>
      <w:tabs>
        <w:tab w:val="clear" w:pos="357"/>
        <w:tab w:val="left" w:pos="584"/>
      </w:tabs>
      <w:ind w:left="584" w:hanging="352"/>
      <w:outlineLvl w:val="2"/>
    </w:pPr>
    <w:rPr>
      <w:b/>
      <w:bCs/>
    </w:rPr>
  </w:style>
  <w:style w:type="paragraph" w:customStyle="1" w:styleId="JuHa0">
    <w:name w:val="Ju_H_a"/>
    <w:basedOn w:val="JuH1"/>
    <w:next w:val="JuPara"/>
    <w:uiPriority w:val="99"/>
    <w:rsid w:val="003064A7"/>
    <w:pPr>
      <w:tabs>
        <w:tab w:val="clear" w:pos="731"/>
        <w:tab w:val="left" w:pos="975"/>
      </w:tabs>
      <w:ind w:left="975" w:hanging="340"/>
      <w:outlineLvl w:val="4"/>
    </w:pPr>
    <w:rPr>
      <w:b/>
      <w:bCs/>
      <w:i w:val="0"/>
      <w:iCs w:val="0"/>
      <w:sz w:val="20"/>
      <w:szCs w:val="20"/>
    </w:rPr>
  </w:style>
  <w:style w:type="paragraph" w:customStyle="1" w:styleId="JuH1">
    <w:name w:val="Ju_H_1."/>
    <w:basedOn w:val="JuHA"/>
    <w:next w:val="JuPara"/>
    <w:uiPriority w:val="99"/>
    <w:rsid w:val="003064A7"/>
    <w:pPr>
      <w:tabs>
        <w:tab w:val="clear" w:pos="584"/>
        <w:tab w:val="left" w:pos="731"/>
      </w:tabs>
      <w:spacing w:before="240" w:after="120"/>
      <w:ind w:left="732" w:hanging="301"/>
      <w:outlineLvl w:val="3"/>
    </w:pPr>
    <w:rPr>
      <w:b w:val="0"/>
      <w:bCs w:val="0"/>
      <w:i/>
      <w:iCs/>
    </w:rPr>
  </w:style>
  <w:style w:type="paragraph" w:customStyle="1" w:styleId="JuHi">
    <w:name w:val="Ju_H_i"/>
    <w:basedOn w:val="JuHa0"/>
    <w:next w:val="JuPara"/>
    <w:uiPriority w:val="99"/>
    <w:rsid w:val="003064A7"/>
    <w:pPr>
      <w:tabs>
        <w:tab w:val="clear" w:pos="975"/>
        <w:tab w:val="left" w:pos="1191"/>
      </w:tabs>
      <w:ind w:left="1190" w:hanging="357"/>
      <w:outlineLvl w:val="5"/>
    </w:pPr>
    <w:rPr>
      <w:b w:val="0"/>
      <w:bCs w:val="0"/>
      <w:i/>
      <w:iCs/>
    </w:rPr>
  </w:style>
  <w:style w:type="paragraph" w:customStyle="1" w:styleId="JuHalpha">
    <w:name w:val="Ju_H_alpha"/>
    <w:basedOn w:val="JuHi"/>
    <w:next w:val="JuPara"/>
    <w:uiPriority w:val="99"/>
    <w:rsid w:val="003064A7"/>
    <w:pPr>
      <w:tabs>
        <w:tab w:val="clear" w:pos="1191"/>
        <w:tab w:val="left" w:pos="1372"/>
      </w:tabs>
      <w:ind w:left="1373" w:hanging="335"/>
    </w:pPr>
    <w:rPr>
      <w:i w:val="0"/>
      <w:iCs w:val="0"/>
    </w:rPr>
  </w:style>
  <w:style w:type="paragraph" w:customStyle="1" w:styleId="JuH">
    <w:name w:val="Ju_H_–"/>
    <w:basedOn w:val="JuHalpha"/>
    <w:next w:val="JuPara"/>
    <w:uiPriority w:val="99"/>
    <w:rsid w:val="003064A7"/>
    <w:pPr>
      <w:tabs>
        <w:tab w:val="clear" w:pos="1372"/>
      </w:tabs>
      <w:ind w:left="1236" w:firstLine="0"/>
    </w:pPr>
    <w:rPr>
      <w:i/>
      <w:iCs/>
    </w:rPr>
  </w:style>
  <w:style w:type="paragraph" w:customStyle="1" w:styleId="JuHQuot">
    <w:name w:val="Ju_H_Quot"/>
    <w:basedOn w:val="JuHa0"/>
    <w:next w:val="JuQuot"/>
    <w:uiPriority w:val="99"/>
    <w:rsid w:val="00B74F22"/>
    <w:pPr>
      <w:ind w:left="0" w:firstLine="0"/>
      <w:jc w:val="center"/>
    </w:pPr>
  </w:style>
  <w:style w:type="paragraph" w:customStyle="1" w:styleId="JuQuot">
    <w:name w:val="Ju_Quot"/>
    <w:basedOn w:val="JuPara"/>
    <w:uiPriority w:val="99"/>
    <w:rsid w:val="003064A7"/>
    <w:pPr>
      <w:spacing w:before="120" w:after="120"/>
      <w:ind w:left="425" w:firstLine="142"/>
    </w:pPr>
    <w:rPr>
      <w:sz w:val="20"/>
      <w:szCs w:val="20"/>
    </w:rPr>
  </w:style>
  <w:style w:type="character" w:styleId="CommentReference">
    <w:name w:val="annotation reference"/>
    <w:basedOn w:val="DefaultParagraphFont"/>
    <w:uiPriority w:val="99"/>
    <w:semiHidden/>
    <w:rsid w:val="00B74F22"/>
    <w:rPr>
      <w:sz w:val="16"/>
      <w:szCs w:val="16"/>
    </w:rPr>
  </w:style>
  <w:style w:type="paragraph" w:styleId="Header">
    <w:name w:val="header"/>
    <w:basedOn w:val="Normal"/>
    <w:link w:val="HeaderChar"/>
    <w:uiPriority w:val="99"/>
    <w:rsid w:val="00E901AE"/>
    <w:pPr>
      <w:tabs>
        <w:tab w:val="center" w:pos="3686"/>
        <w:tab w:val="right" w:pos="7371"/>
      </w:tabs>
      <w:suppressAutoHyphens w:val="0"/>
    </w:pPr>
  </w:style>
  <w:style w:type="character" w:customStyle="1" w:styleId="HeaderChar">
    <w:name w:val="Header Char"/>
    <w:basedOn w:val="DefaultParagraphFont"/>
    <w:link w:val="Header"/>
    <w:uiPriority w:val="99"/>
    <w:semiHidden/>
    <w:locked/>
    <w:rsid w:val="00D73649"/>
    <w:rPr>
      <w:sz w:val="24"/>
      <w:szCs w:val="24"/>
      <w:lang w:val="en-GB" w:eastAsia="en-GB"/>
    </w:rPr>
  </w:style>
  <w:style w:type="paragraph" w:customStyle="1" w:styleId="JuSigned">
    <w:name w:val="Ju_Signed"/>
    <w:basedOn w:val="Normal"/>
    <w:next w:val="JuParaLast"/>
    <w:uiPriority w:val="99"/>
    <w:rsid w:val="00E901AE"/>
    <w:pPr>
      <w:tabs>
        <w:tab w:val="center" w:pos="851"/>
        <w:tab w:val="center" w:pos="6407"/>
      </w:tabs>
      <w:spacing w:before="720"/>
    </w:pPr>
  </w:style>
  <w:style w:type="paragraph" w:customStyle="1" w:styleId="JuParaLast">
    <w:name w:val="Ju_Para_Last"/>
    <w:basedOn w:val="JuPara"/>
    <w:next w:val="JuPara"/>
    <w:uiPriority w:val="99"/>
    <w:rsid w:val="003064A7"/>
    <w:pPr>
      <w:keepNext/>
      <w:keepLines/>
      <w:spacing w:before="240"/>
    </w:pPr>
  </w:style>
  <w:style w:type="paragraph" w:customStyle="1" w:styleId="JuInitialled">
    <w:name w:val="Ju_Initialled"/>
    <w:basedOn w:val="JuSigned"/>
    <w:uiPriority w:val="99"/>
    <w:rsid w:val="003064A7"/>
    <w:pPr>
      <w:tabs>
        <w:tab w:val="clear" w:pos="851"/>
      </w:tabs>
      <w:suppressAutoHyphens w:val="0"/>
      <w:jc w:val="right"/>
    </w:pPr>
    <w:rPr>
      <w:lang w:eastAsia="fr-FR"/>
    </w:rPr>
  </w:style>
  <w:style w:type="paragraph" w:customStyle="1" w:styleId="JuList">
    <w:name w:val="Ju_List"/>
    <w:basedOn w:val="JuPara"/>
    <w:uiPriority w:val="99"/>
    <w:rsid w:val="003064A7"/>
    <w:pPr>
      <w:ind w:left="340" w:hanging="340"/>
    </w:pPr>
  </w:style>
  <w:style w:type="paragraph" w:customStyle="1" w:styleId="JuLista">
    <w:name w:val="Ju_List_a"/>
    <w:basedOn w:val="JuList"/>
    <w:uiPriority w:val="99"/>
    <w:rsid w:val="003064A7"/>
    <w:pPr>
      <w:ind w:left="346" w:firstLine="0"/>
    </w:pPr>
  </w:style>
  <w:style w:type="paragraph" w:customStyle="1" w:styleId="JuListi">
    <w:name w:val="Ju_List_i"/>
    <w:basedOn w:val="JuLista"/>
    <w:uiPriority w:val="99"/>
    <w:rsid w:val="003064A7"/>
    <w:pPr>
      <w:ind w:left="794"/>
    </w:pPr>
  </w:style>
  <w:style w:type="character" w:styleId="FootnoteReference">
    <w:name w:val="footnote reference"/>
    <w:basedOn w:val="DefaultParagraphFont"/>
    <w:uiPriority w:val="99"/>
    <w:semiHidden/>
    <w:rsid w:val="003064A7"/>
    <w:rPr>
      <w:vertAlign w:val="superscript"/>
    </w:rPr>
  </w:style>
  <w:style w:type="paragraph" w:styleId="CommentText">
    <w:name w:val="annotation text"/>
    <w:basedOn w:val="Normal"/>
    <w:link w:val="CommentTextChar"/>
    <w:uiPriority w:val="99"/>
    <w:semiHidden/>
    <w:rsid w:val="00B74F22"/>
    <w:rPr>
      <w:sz w:val="20"/>
      <w:szCs w:val="20"/>
    </w:rPr>
  </w:style>
  <w:style w:type="character" w:customStyle="1" w:styleId="CommentTextChar">
    <w:name w:val="Comment Text Char"/>
    <w:basedOn w:val="DefaultParagraphFont"/>
    <w:link w:val="CommentText"/>
    <w:uiPriority w:val="99"/>
    <w:semiHidden/>
    <w:locked/>
    <w:rsid w:val="00D73649"/>
    <w:rPr>
      <w:sz w:val="20"/>
      <w:szCs w:val="20"/>
      <w:lang w:val="en-GB" w:eastAsia="en-GB"/>
    </w:rPr>
  </w:style>
  <w:style w:type="paragraph" w:customStyle="1" w:styleId="OpiCommission">
    <w:name w:val="Opi_Commission"/>
    <w:basedOn w:val="JuJudges"/>
    <w:uiPriority w:val="99"/>
    <w:rsid w:val="00B74F22"/>
    <w:pPr>
      <w:tabs>
        <w:tab w:val="clear" w:pos="567"/>
        <w:tab w:val="clear" w:pos="1134"/>
        <w:tab w:val="left" w:pos="1814"/>
        <w:tab w:val="left" w:pos="2381"/>
        <w:tab w:val="left" w:pos="3119"/>
      </w:tabs>
      <w:ind w:left="1418"/>
    </w:pPr>
    <w:rPr>
      <w:sz w:val="20"/>
      <w:szCs w:val="20"/>
    </w:rPr>
  </w:style>
  <w:style w:type="paragraph" w:customStyle="1" w:styleId="OpiPara">
    <w:name w:val="Opi_Para"/>
    <w:basedOn w:val="JuPara"/>
    <w:uiPriority w:val="99"/>
    <w:rsid w:val="003064A7"/>
  </w:style>
  <w:style w:type="paragraph" w:customStyle="1" w:styleId="OpiConclusion">
    <w:name w:val="Opi_Conclusion"/>
    <w:basedOn w:val="OpiPara"/>
    <w:next w:val="OpiPara"/>
    <w:uiPriority w:val="99"/>
    <w:rsid w:val="00B74F22"/>
    <w:pPr>
      <w:spacing w:before="360" w:after="120"/>
      <w:ind w:firstLine="0"/>
    </w:pPr>
    <w:rPr>
      <w:i/>
      <w:iCs/>
    </w:rPr>
  </w:style>
  <w:style w:type="paragraph" w:customStyle="1" w:styleId="OpiHA">
    <w:name w:val="Opi_H_A"/>
    <w:basedOn w:val="JuHIRoman"/>
    <w:next w:val="OpiPara"/>
    <w:uiPriority w:val="99"/>
    <w:rsid w:val="003064A7"/>
    <w:pPr>
      <w:tabs>
        <w:tab w:val="clear" w:pos="357"/>
      </w:tabs>
    </w:pPr>
    <w:rPr>
      <w:b/>
      <w:bCs/>
    </w:rPr>
  </w:style>
  <w:style w:type="paragraph" w:customStyle="1" w:styleId="OpiH1">
    <w:name w:val="Opi_H_1."/>
    <w:basedOn w:val="OpiHA"/>
    <w:next w:val="OpiPara"/>
    <w:uiPriority w:val="99"/>
    <w:rsid w:val="003064A7"/>
    <w:pPr>
      <w:spacing w:before="240" w:after="120"/>
      <w:ind w:left="635"/>
      <w:outlineLvl w:val="2"/>
    </w:pPr>
    <w:rPr>
      <w:b w:val="0"/>
      <w:bCs w:val="0"/>
      <w:i/>
      <w:iCs/>
    </w:rPr>
  </w:style>
  <w:style w:type="paragraph" w:customStyle="1" w:styleId="OpiHa0">
    <w:name w:val="Opi_H_a"/>
    <w:basedOn w:val="OpiH1"/>
    <w:next w:val="OpiPara"/>
    <w:uiPriority w:val="99"/>
    <w:rsid w:val="003064A7"/>
    <w:pPr>
      <w:ind w:left="833"/>
      <w:outlineLvl w:val="3"/>
    </w:pPr>
    <w:rPr>
      <w:b/>
      <w:bCs/>
      <w:i w:val="0"/>
      <w:iCs w:val="0"/>
      <w:sz w:val="20"/>
      <w:szCs w:val="20"/>
    </w:rPr>
  </w:style>
  <w:style w:type="paragraph" w:customStyle="1" w:styleId="OpiHHead">
    <w:name w:val="Opi_H_Head"/>
    <w:basedOn w:val="JuHHead"/>
    <w:next w:val="OpiPara"/>
    <w:uiPriority w:val="99"/>
    <w:rsid w:val="003064A7"/>
    <w:pPr>
      <w:spacing w:before="0"/>
      <w:jc w:val="center"/>
    </w:pPr>
  </w:style>
  <w:style w:type="paragraph" w:customStyle="1" w:styleId="OpiTranslation">
    <w:name w:val="Opi_Translation"/>
    <w:basedOn w:val="OpiHHead"/>
    <w:next w:val="OpiPara"/>
    <w:uiPriority w:val="99"/>
    <w:rsid w:val="003064A7"/>
    <w:rPr>
      <w:i/>
      <w:iCs/>
      <w:sz w:val="24"/>
      <w:szCs w:val="24"/>
    </w:rPr>
  </w:style>
  <w:style w:type="paragraph" w:customStyle="1" w:styleId="OpiHCommission">
    <w:name w:val="Opi_H_Commission"/>
    <w:basedOn w:val="OpiTranslation"/>
    <w:next w:val="OpiPara"/>
    <w:uiPriority w:val="99"/>
    <w:rsid w:val="00B74F22"/>
    <w:pPr>
      <w:spacing w:before="480"/>
      <w:ind w:left="1418"/>
      <w:jc w:val="left"/>
    </w:pPr>
    <w:rPr>
      <w:sz w:val="20"/>
      <w:szCs w:val="20"/>
    </w:rPr>
  </w:style>
  <w:style w:type="paragraph" w:customStyle="1" w:styleId="OpiHi">
    <w:name w:val="Opi_H_i"/>
    <w:basedOn w:val="OpiHa0"/>
    <w:next w:val="OpiPara"/>
    <w:uiPriority w:val="99"/>
    <w:rsid w:val="003064A7"/>
    <w:pPr>
      <w:ind w:left="1037"/>
      <w:outlineLvl w:val="4"/>
    </w:pPr>
    <w:rPr>
      <w:b w:val="0"/>
      <w:bCs w:val="0"/>
      <w:i/>
      <w:iCs/>
    </w:rPr>
  </w:style>
  <w:style w:type="paragraph" w:customStyle="1" w:styleId="OpiHOpinion">
    <w:name w:val="Opi_H_Opinion"/>
    <w:basedOn w:val="OpiHHead"/>
    <w:next w:val="OpiPara"/>
    <w:uiPriority w:val="99"/>
    <w:rsid w:val="00B74F22"/>
    <w:pPr>
      <w:spacing w:before="240"/>
    </w:pPr>
    <w:rPr>
      <w:b/>
      <w:bCs/>
    </w:rPr>
  </w:style>
  <w:style w:type="paragraph" w:customStyle="1" w:styleId="OpiList">
    <w:name w:val="Opi_List"/>
    <w:basedOn w:val="JuList"/>
    <w:uiPriority w:val="99"/>
    <w:rsid w:val="00B74F22"/>
  </w:style>
  <w:style w:type="character" w:customStyle="1" w:styleId="OpiNames">
    <w:name w:val="Opi_Names"/>
    <w:basedOn w:val="JuNames"/>
    <w:uiPriority w:val="99"/>
    <w:rsid w:val="00B74F22"/>
  </w:style>
  <w:style w:type="character" w:customStyle="1" w:styleId="JuNames">
    <w:name w:val="Ju_Names"/>
    <w:uiPriority w:val="99"/>
    <w:rsid w:val="003064A7"/>
    <w:rPr>
      <w:smallCaps/>
    </w:rPr>
  </w:style>
  <w:style w:type="paragraph" w:customStyle="1" w:styleId="OpiQuot">
    <w:name w:val="Opi_Quot"/>
    <w:basedOn w:val="JuQuot"/>
    <w:uiPriority w:val="99"/>
    <w:rsid w:val="003064A7"/>
  </w:style>
  <w:style w:type="paragraph" w:customStyle="1" w:styleId="OpiQuotList">
    <w:name w:val="Opi_Quot_List"/>
    <w:basedOn w:val="OpiQuot"/>
    <w:uiPriority w:val="99"/>
    <w:rsid w:val="00B74F22"/>
    <w:pPr>
      <w:tabs>
        <w:tab w:val="left" w:pos="1021"/>
      </w:tabs>
      <w:ind w:left="567" w:firstLine="0"/>
    </w:pPr>
  </w:style>
  <w:style w:type="paragraph" w:customStyle="1" w:styleId="OpiSigned">
    <w:name w:val="Opi_Signed"/>
    <w:basedOn w:val="JuSigned"/>
    <w:uiPriority w:val="99"/>
    <w:rsid w:val="00B74F22"/>
    <w:pPr>
      <w:tabs>
        <w:tab w:val="clear" w:pos="851"/>
        <w:tab w:val="center" w:pos="1418"/>
        <w:tab w:val="center" w:pos="5954"/>
      </w:tabs>
    </w:pPr>
  </w:style>
  <w:style w:type="character" w:styleId="PageNumber">
    <w:name w:val="page number"/>
    <w:basedOn w:val="DefaultParagraphFont"/>
    <w:uiPriority w:val="99"/>
    <w:rsid w:val="003064A7"/>
    <w:rPr>
      <w:sz w:val="18"/>
      <w:szCs w:val="18"/>
    </w:rPr>
  </w:style>
  <w:style w:type="paragraph" w:styleId="FootnoteText">
    <w:name w:val="footnote text"/>
    <w:basedOn w:val="Normal"/>
    <w:link w:val="FootnoteTextChar"/>
    <w:uiPriority w:val="99"/>
    <w:semiHidden/>
    <w:rsid w:val="003064A7"/>
    <w:pPr>
      <w:jc w:val="both"/>
    </w:pPr>
    <w:rPr>
      <w:sz w:val="20"/>
      <w:szCs w:val="20"/>
    </w:rPr>
  </w:style>
  <w:style w:type="character" w:customStyle="1" w:styleId="FootnoteTextChar">
    <w:name w:val="Footnote Text Char"/>
    <w:basedOn w:val="DefaultParagraphFont"/>
    <w:link w:val="FootnoteText"/>
    <w:uiPriority w:val="99"/>
    <w:semiHidden/>
    <w:locked/>
    <w:rsid w:val="00D73649"/>
    <w:rPr>
      <w:sz w:val="20"/>
      <w:szCs w:val="20"/>
      <w:lang w:val="en-GB" w:eastAsia="en-GB"/>
    </w:rPr>
  </w:style>
  <w:style w:type="paragraph" w:customStyle="1" w:styleId="SuCoverTitle1">
    <w:name w:val="Su_Cover_Title1"/>
    <w:basedOn w:val="Normal"/>
    <w:next w:val="SuCoverTitle2"/>
    <w:uiPriority w:val="99"/>
    <w:rsid w:val="00B74F22"/>
    <w:pPr>
      <w:spacing w:before="2500"/>
      <w:jc w:val="center"/>
    </w:pPr>
    <w:rPr>
      <w:sz w:val="22"/>
      <w:szCs w:val="22"/>
    </w:rPr>
  </w:style>
  <w:style w:type="paragraph" w:customStyle="1" w:styleId="SuCoverTitle2">
    <w:name w:val="Su_Cover_Title2"/>
    <w:basedOn w:val="SuCoverTitle1"/>
    <w:next w:val="Normal"/>
    <w:uiPriority w:val="99"/>
    <w:rsid w:val="00B74F22"/>
    <w:pPr>
      <w:spacing w:before="240"/>
    </w:pPr>
    <w:rPr>
      <w:sz w:val="18"/>
      <w:szCs w:val="18"/>
    </w:rPr>
  </w:style>
  <w:style w:type="paragraph" w:customStyle="1" w:styleId="JuQuotSub">
    <w:name w:val="Ju_Quot_Sub"/>
    <w:basedOn w:val="JuQuot"/>
    <w:uiPriority w:val="99"/>
    <w:rsid w:val="003064A7"/>
    <w:pPr>
      <w:ind w:left="567"/>
    </w:pPr>
  </w:style>
  <w:style w:type="paragraph" w:styleId="Footer">
    <w:name w:val="footer"/>
    <w:basedOn w:val="Normal"/>
    <w:link w:val="FooterChar"/>
    <w:uiPriority w:val="99"/>
    <w:rsid w:val="00E901AE"/>
    <w:pPr>
      <w:tabs>
        <w:tab w:val="center" w:pos="3686"/>
        <w:tab w:val="right" w:pos="7371"/>
      </w:tabs>
    </w:pPr>
  </w:style>
  <w:style w:type="character" w:customStyle="1" w:styleId="FooterChar">
    <w:name w:val="Footer Char"/>
    <w:basedOn w:val="DefaultParagraphFont"/>
    <w:link w:val="Footer"/>
    <w:uiPriority w:val="99"/>
    <w:semiHidden/>
    <w:locked/>
    <w:rsid w:val="00D73649"/>
    <w:rPr>
      <w:sz w:val="24"/>
      <w:szCs w:val="24"/>
      <w:lang w:val="en-GB" w:eastAsia="en-GB"/>
    </w:rPr>
  </w:style>
  <w:style w:type="paragraph" w:customStyle="1" w:styleId="SuPara">
    <w:name w:val="Su_Para"/>
    <w:basedOn w:val="SuKeywords"/>
    <w:uiPriority w:val="99"/>
    <w:rsid w:val="00B74F22"/>
    <w:pPr>
      <w:spacing w:before="0" w:after="0"/>
    </w:pPr>
    <w:rPr>
      <w:i w:val="0"/>
      <w:iCs w:val="0"/>
    </w:rPr>
  </w:style>
  <w:style w:type="paragraph" w:customStyle="1" w:styleId="SuKeywords">
    <w:name w:val="Su_Keywords"/>
    <w:basedOn w:val="SuHHead"/>
    <w:uiPriority w:val="99"/>
    <w:rsid w:val="00B74F22"/>
    <w:pPr>
      <w:spacing w:before="120"/>
    </w:pPr>
    <w:rPr>
      <w:b w:val="0"/>
      <w:bCs w:val="0"/>
      <w:i/>
      <w:iCs/>
    </w:rPr>
  </w:style>
  <w:style w:type="paragraph" w:customStyle="1" w:styleId="SuHHead">
    <w:name w:val="Su_H_Head"/>
    <w:basedOn w:val="SuSubject"/>
    <w:uiPriority w:val="99"/>
    <w:rsid w:val="00B74F22"/>
    <w:pPr>
      <w:spacing w:after="120"/>
    </w:pPr>
  </w:style>
  <w:style w:type="paragraph" w:customStyle="1" w:styleId="SuSubject">
    <w:name w:val="Su_Subject"/>
    <w:basedOn w:val="SuSummary"/>
    <w:uiPriority w:val="99"/>
    <w:rsid w:val="00B74F22"/>
    <w:pPr>
      <w:spacing w:before="360"/>
      <w:jc w:val="both"/>
    </w:pPr>
    <w:rPr>
      <w:b/>
      <w:bCs/>
      <w:sz w:val="22"/>
      <w:szCs w:val="22"/>
    </w:rPr>
  </w:style>
  <w:style w:type="paragraph" w:customStyle="1" w:styleId="SuSummary">
    <w:name w:val="Su_Summary"/>
    <w:basedOn w:val="Normal"/>
    <w:next w:val="SuSubject"/>
    <w:uiPriority w:val="99"/>
    <w:rsid w:val="00B74F22"/>
    <w:pPr>
      <w:spacing w:after="240"/>
      <w:jc w:val="center"/>
    </w:pPr>
  </w:style>
  <w:style w:type="paragraph" w:customStyle="1" w:styleId="DecHTitle">
    <w:name w:val="Dec_H_Title"/>
    <w:basedOn w:val="Normal"/>
    <w:uiPriority w:val="99"/>
    <w:rsid w:val="00E901AE"/>
    <w:pPr>
      <w:spacing w:after="240"/>
      <w:jc w:val="center"/>
      <w:outlineLvl w:val="0"/>
    </w:pPr>
    <w:rPr>
      <w:sz w:val="28"/>
      <w:szCs w:val="28"/>
    </w:rPr>
  </w:style>
  <w:style w:type="paragraph" w:customStyle="1" w:styleId="DecHCase">
    <w:name w:val="Dec_H_Case"/>
    <w:basedOn w:val="DecHTitle"/>
    <w:next w:val="JuPara"/>
    <w:uiPriority w:val="99"/>
    <w:rsid w:val="003064A7"/>
    <w:pPr>
      <w:suppressAutoHyphens w:val="0"/>
    </w:pPr>
    <w:rPr>
      <w:sz w:val="24"/>
      <w:szCs w:val="24"/>
      <w:lang w:eastAsia="fr-FR"/>
    </w:rPr>
  </w:style>
  <w:style w:type="paragraph" w:customStyle="1" w:styleId="DecList">
    <w:name w:val="Dec_List"/>
    <w:basedOn w:val="Normal"/>
    <w:uiPriority w:val="99"/>
    <w:rsid w:val="00E901AE"/>
    <w:pPr>
      <w:suppressAutoHyphens w:val="0"/>
      <w:spacing w:before="240"/>
      <w:ind w:left="284"/>
      <w:jc w:val="both"/>
    </w:pPr>
    <w:rPr>
      <w:lang w:eastAsia="fr-FR"/>
    </w:rPr>
  </w:style>
  <w:style w:type="paragraph" w:customStyle="1" w:styleId="JuParaSub">
    <w:name w:val="Ju_Para_Sub"/>
    <w:basedOn w:val="JuPara"/>
    <w:uiPriority w:val="99"/>
    <w:rsid w:val="003064A7"/>
    <w:pPr>
      <w:ind w:left="284"/>
    </w:pPr>
  </w:style>
  <w:style w:type="character" w:styleId="EndnoteReference">
    <w:name w:val="endnote reference"/>
    <w:basedOn w:val="DefaultParagraphFont"/>
    <w:uiPriority w:val="99"/>
    <w:semiHidden/>
    <w:rsid w:val="003064A7"/>
    <w:rPr>
      <w:vertAlign w:val="superscript"/>
    </w:rPr>
  </w:style>
  <w:style w:type="paragraph" w:styleId="EndnoteText">
    <w:name w:val="endnote text"/>
    <w:basedOn w:val="Normal"/>
    <w:link w:val="EndnoteTextChar"/>
    <w:uiPriority w:val="99"/>
    <w:semiHidden/>
    <w:rsid w:val="003064A7"/>
    <w:rPr>
      <w:sz w:val="20"/>
      <w:szCs w:val="20"/>
    </w:rPr>
  </w:style>
  <w:style w:type="character" w:customStyle="1" w:styleId="EndnoteTextChar">
    <w:name w:val="Endnote Text Char"/>
    <w:basedOn w:val="DefaultParagraphFont"/>
    <w:link w:val="EndnoteText"/>
    <w:uiPriority w:val="99"/>
    <w:semiHidden/>
    <w:locked/>
    <w:rsid w:val="00D73649"/>
    <w:rPr>
      <w:sz w:val="20"/>
      <w:szCs w:val="20"/>
      <w:lang w:val="en-GB" w:eastAsia="en-GB"/>
    </w:rPr>
  </w:style>
  <w:style w:type="character" w:styleId="FollowedHyperlink">
    <w:name w:val="FollowedHyperlink"/>
    <w:basedOn w:val="DefaultParagraphFont"/>
    <w:uiPriority w:val="99"/>
    <w:rsid w:val="003064A7"/>
    <w:rPr>
      <w:color w:val="800080"/>
      <w:u w:val="single"/>
    </w:rPr>
  </w:style>
  <w:style w:type="character" w:styleId="Hyperlink">
    <w:name w:val="Hyperlink"/>
    <w:basedOn w:val="DefaultParagraphFont"/>
    <w:uiPriority w:val="99"/>
    <w:rsid w:val="003064A7"/>
    <w:rPr>
      <w:color w:val="0000FF"/>
      <w:u w:val="single"/>
    </w:rPr>
  </w:style>
  <w:style w:type="paragraph" w:customStyle="1" w:styleId="OpiParaSub">
    <w:name w:val="Opi_Para_Sub"/>
    <w:basedOn w:val="JuParaSub"/>
    <w:uiPriority w:val="99"/>
    <w:rsid w:val="003064A7"/>
  </w:style>
  <w:style w:type="paragraph" w:customStyle="1" w:styleId="OpiQuotSub">
    <w:name w:val="Opi_Quot_Sub"/>
    <w:basedOn w:val="JuQuotSub"/>
    <w:uiPriority w:val="99"/>
    <w:rsid w:val="003064A7"/>
  </w:style>
  <w:style w:type="paragraph" w:customStyle="1" w:styleId="JuAppQuestion">
    <w:name w:val="Ju_App_Question"/>
    <w:basedOn w:val="ListBullet"/>
    <w:uiPriority w:val="99"/>
    <w:rsid w:val="003064A7"/>
    <w:pPr>
      <w:numPr>
        <w:numId w:val="16"/>
      </w:numPr>
      <w:suppressAutoHyphens w:val="0"/>
    </w:pPr>
    <w:rPr>
      <w:b/>
      <w:bCs/>
      <w:color w:val="333333"/>
      <w:lang w:eastAsia="fr-FR"/>
    </w:rPr>
  </w:style>
  <w:style w:type="paragraph" w:styleId="ListBullet">
    <w:name w:val="List Bullet"/>
    <w:basedOn w:val="Normal"/>
    <w:uiPriority w:val="99"/>
    <w:rsid w:val="003064A7"/>
    <w:pPr>
      <w:numPr>
        <w:numId w:val="14"/>
      </w:numPr>
    </w:pPr>
  </w:style>
  <w:style w:type="paragraph" w:customStyle="1" w:styleId="JuHArticle">
    <w:name w:val="Ju_H_Article"/>
    <w:basedOn w:val="JuHa0"/>
    <w:next w:val="JuQuot"/>
    <w:uiPriority w:val="99"/>
    <w:rsid w:val="003064A7"/>
    <w:pPr>
      <w:ind w:left="0" w:firstLine="0"/>
      <w:jc w:val="center"/>
    </w:pPr>
  </w:style>
  <w:style w:type="paragraph" w:customStyle="1" w:styleId="JuHeader">
    <w:name w:val="Ju_Header"/>
    <w:basedOn w:val="Header"/>
    <w:uiPriority w:val="99"/>
    <w:rsid w:val="003064A7"/>
  </w:style>
  <w:style w:type="paragraph" w:customStyle="1" w:styleId="s1adbd37c">
    <w:name w:val="s1adbd37c"/>
    <w:basedOn w:val="Normal"/>
    <w:uiPriority w:val="99"/>
    <w:rsid w:val="005E2883"/>
    <w:pPr>
      <w:suppressAutoHyphens w:val="0"/>
      <w:spacing w:before="100" w:beforeAutospacing="1" w:after="100" w:afterAutospacing="1"/>
    </w:pPr>
  </w:style>
  <w:style w:type="character" w:customStyle="1" w:styleId="s32a37344">
    <w:name w:val="s32a37344"/>
    <w:uiPriority w:val="99"/>
    <w:rsid w:val="005E2883"/>
  </w:style>
  <w:style w:type="character" w:customStyle="1" w:styleId="sb8d990e2">
    <w:name w:val="sb8d990e2"/>
    <w:uiPriority w:val="99"/>
    <w:rsid w:val="005E2883"/>
  </w:style>
  <w:style w:type="character" w:customStyle="1" w:styleId="sea881cdf">
    <w:name w:val="sea881cdf"/>
    <w:uiPriority w:val="99"/>
    <w:rsid w:val="005E2883"/>
  </w:style>
  <w:style w:type="character" w:customStyle="1" w:styleId="wordhighlighted">
    <w:name w:val="wordhighlighted"/>
    <w:uiPriority w:val="99"/>
    <w:rsid w:val="005E2883"/>
  </w:style>
  <w:style w:type="paragraph" w:customStyle="1" w:styleId="s30eec3f8">
    <w:name w:val="s30eec3f8"/>
    <w:basedOn w:val="Normal"/>
    <w:uiPriority w:val="99"/>
    <w:rsid w:val="005E2883"/>
    <w:pPr>
      <w:suppressAutoHyphens w:val="0"/>
      <w:spacing w:before="100" w:beforeAutospacing="1" w:after="100" w:afterAutospacing="1"/>
    </w:pPr>
  </w:style>
  <w:style w:type="paragraph" w:customStyle="1" w:styleId="sa0c215e2">
    <w:name w:val="sa0c215e2"/>
    <w:basedOn w:val="Normal"/>
    <w:uiPriority w:val="99"/>
    <w:rsid w:val="005E2883"/>
    <w:pPr>
      <w:suppressAutoHyphens w:val="0"/>
      <w:spacing w:before="100" w:beforeAutospacing="1" w:after="100" w:afterAutospacing="1"/>
    </w:pPr>
  </w:style>
  <w:style w:type="character" w:customStyle="1" w:styleId="s6b621b36">
    <w:name w:val="s6b621b36"/>
    <w:uiPriority w:val="99"/>
    <w:rsid w:val="005E2883"/>
  </w:style>
  <w:style w:type="character" w:customStyle="1" w:styleId="JuParaChar">
    <w:name w:val="Ju_Para Char"/>
    <w:link w:val="JuPara"/>
    <w:uiPriority w:val="99"/>
    <w:locked/>
    <w:rsid w:val="00CF33A8"/>
    <w:rPr>
      <w:sz w:val="24"/>
      <w:szCs w:val="24"/>
      <w:lang w:val="en-GB" w:eastAsia="fr-FR"/>
    </w:rPr>
  </w:style>
  <w:style w:type="character" w:customStyle="1" w:styleId="JuParaCharChar">
    <w:name w:val="Ju_Para Char Char"/>
    <w:uiPriority w:val="99"/>
    <w:rsid w:val="00DA11E9"/>
    <w:rPr>
      <w:sz w:val="24"/>
      <w:szCs w:val="24"/>
      <w:lang w:val="fr-FR" w:eastAsia="fr-FR"/>
    </w:rPr>
  </w:style>
  <w:style w:type="character" w:customStyle="1" w:styleId="JuJudgesChar">
    <w:name w:val="Ju_Judges Char"/>
    <w:link w:val="JuJudges"/>
    <w:uiPriority w:val="99"/>
    <w:locked/>
    <w:rsid w:val="00DA11E9"/>
    <w:rPr>
      <w:sz w:val="24"/>
      <w:szCs w:val="24"/>
      <w:lang w:val="en-GB" w:eastAsia="en-GB"/>
    </w:rPr>
  </w:style>
  <w:style w:type="character" w:customStyle="1" w:styleId="s4f807e54">
    <w:name w:val="s4f807e54"/>
    <w:basedOn w:val="DefaultParagraphFont"/>
    <w:uiPriority w:val="99"/>
    <w:rsid w:val="004D46D2"/>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912154632">
      <w:marLeft w:val="0"/>
      <w:marRight w:val="0"/>
      <w:marTop w:val="0"/>
      <w:marBottom w:val="0"/>
      <w:divBdr>
        <w:top w:val="none" w:sz="0" w:space="0" w:color="auto"/>
        <w:left w:val="none" w:sz="0" w:space="0" w:color="auto"/>
        <w:bottom w:val="none" w:sz="0" w:space="0" w:color="auto"/>
        <w:right w:val="none" w:sz="0" w:space="0" w:color="auto"/>
      </w:divBdr>
    </w:div>
    <w:div w:id="912154635">
      <w:marLeft w:val="0"/>
      <w:marRight w:val="0"/>
      <w:marTop w:val="0"/>
      <w:marBottom w:val="0"/>
      <w:divBdr>
        <w:top w:val="none" w:sz="0" w:space="0" w:color="auto"/>
        <w:left w:val="none" w:sz="0" w:space="0" w:color="auto"/>
        <w:bottom w:val="none" w:sz="0" w:space="0" w:color="auto"/>
        <w:right w:val="none" w:sz="0" w:space="0" w:color="auto"/>
      </w:divBdr>
      <w:divsChild>
        <w:div w:id="912154638">
          <w:marLeft w:val="0"/>
          <w:marRight w:val="0"/>
          <w:marTop w:val="0"/>
          <w:marBottom w:val="0"/>
          <w:divBdr>
            <w:top w:val="none" w:sz="0" w:space="0" w:color="auto"/>
            <w:left w:val="none" w:sz="0" w:space="0" w:color="auto"/>
            <w:bottom w:val="none" w:sz="0" w:space="0" w:color="auto"/>
            <w:right w:val="none" w:sz="0" w:space="0" w:color="auto"/>
          </w:divBdr>
          <w:divsChild>
            <w:div w:id="912154639">
              <w:marLeft w:val="0"/>
              <w:marRight w:val="0"/>
              <w:marTop w:val="0"/>
              <w:marBottom w:val="0"/>
              <w:divBdr>
                <w:top w:val="none" w:sz="0" w:space="0" w:color="auto"/>
                <w:left w:val="none" w:sz="0" w:space="0" w:color="auto"/>
                <w:bottom w:val="none" w:sz="0" w:space="0" w:color="auto"/>
                <w:right w:val="none" w:sz="0" w:space="0" w:color="auto"/>
              </w:divBdr>
              <w:divsChild>
                <w:div w:id="912154636">
                  <w:marLeft w:val="0"/>
                  <w:marRight w:val="0"/>
                  <w:marTop w:val="0"/>
                  <w:marBottom w:val="0"/>
                  <w:divBdr>
                    <w:top w:val="none" w:sz="0" w:space="0" w:color="auto"/>
                    <w:left w:val="none" w:sz="0" w:space="0" w:color="auto"/>
                    <w:bottom w:val="none" w:sz="0" w:space="0" w:color="auto"/>
                    <w:right w:val="none" w:sz="0" w:space="0" w:color="auto"/>
                  </w:divBdr>
                  <w:divsChild>
                    <w:div w:id="912154640">
                      <w:marLeft w:val="0"/>
                      <w:marRight w:val="0"/>
                      <w:marTop w:val="0"/>
                      <w:marBottom w:val="0"/>
                      <w:divBdr>
                        <w:top w:val="none" w:sz="0" w:space="0" w:color="auto"/>
                        <w:left w:val="none" w:sz="0" w:space="0" w:color="auto"/>
                        <w:bottom w:val="none" w:sz="0" w:space="0" w:color="auto"/>
                        <w:right w:val="none" w:sz="0" w:space="0" w:color="auto"/>
                      </w:divBdr>
                      <w:divsChild>
                        <w:div w:id="912154633">
                          <w:marLeft w:val="0"/>
                          <w:marRight w:val="0"/>
                          <w:marTop w:val="0"/>
                          <w:marBottom w:val="0"/>
                          <w:divBdr>
                            <w:top w:val="none" w:sz="0" w:space="0" w:color="auto"/>
                            <w:left w:val="none" w:sz="0" w:space="0" w:color="auto"/>
                            <w:bottom w:val="none" w:sz="0" w:space="0" w:color="auto"/>
                            <w:right w:val="none" w:sz="0" w:space="0" w:color="auto"/>
                          </w:divBdr>
                          <w:divsChild>
                            <w:div w:id="91215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154637">
      <w:marLeft w:val="0"/>
      <w:marRight w:val="0"/>
      <w:marTop w:val="0"/>
      <w:marBottom w:val="0"/>
      <w:divBdr>
        <w:top w:val="none" w:sz="0" w:space="0" w:color="auto"/>
        <w:left w:val="none" w:sz="0" w:space="0" w:color="auto"/>
        <w:bottom w:val="none" w:sz="0" w:space="0" w:color="auto"/>
        <w:right w:val="none" w:sz="0" w:space="0" w:color="auto"/>
      </w:divBdr>
    </w:div>
    <w:div w:id="912154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11</Pages>
  <Words>3935</Words>
  <Characters>23615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SUMDEC</dc:subject>
  <dc:creator/>
  <cp:keywords/>
  <dc:description/>
  <cp:lastModifiedBy/>
  <cp:revision>4</cp:revision>
  <cp:lastPrinted>2014-12-08T10:23:00Z</cp:lastPrinted>
  <dcterms:created xsi:type="dcterms:W3CDTF">2014-12-09T08:40:00Z</dcterms:created>
  <dcterms:modified xsi:type="dcterms:W3CDTF">2015-02-27T07:30:00Z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57665/12</vt:lpwstr>
  </property>
  <property fmtid="{D5CDD505-2E9C-101B-9397-08002B2CF9AE}" pid="4" name="CASEID">
    <vt:lpwstr>826298</vt:lpwstr>
  </property>
  <property fmtid="{D5CDD505-2E9C-101B-9397-08002B2CF9AE}" pid="5" name="OrigTemp">
    <vt:lpwstr>English\Documents\DE07 Publications\DE7.1 PUB Decision.dotm</vt:lpwstr>
  </property>
</Properties>
</file>